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005BD" w14:textId="77777777" w:rsidR="008C48FE" w:rsidRPr="004117BC" w:rsidRDefault="008C48FE" w:rsidP="003E1E4F">
      <w:pPr>
        <w:pStyle w:val="Style1"/>
        <w:widowControl/>
        <w:spacing w:line="240" w:lineRule="auto"/>
        <w:ind w:left="1440"/>
        <w:rPr>
          <w:rStyle w:val="FontStyle21"/>
          <w:rFonts w:ascii="Arial" w:hAnsi="Arial" w:cs="Arial"/>
          <w:color w:val="FFFFFF" w:themeColor="background1"/>
          <w:sz w:val="36"/>
        </w:rPr>
      </w:pPr>
      <w:r w:rsidRPr="004117BC">
        <w:rPr>
          <w:rStyle w:val="FontStyle21"/>
          <w:rFonts w:ascii="Arial" w:hAnsi="Arial"/>
          <w:color w:val="FFFFFF" w:themeColor="background1"/>
          <w:sz w:val="36"/>
          <w:highlight w:val="black"/>
        </w:rPr>
        <w:t xml:space="preserve">Test </w:t>
      </w:r>
      <w:proofErr w:type="spellStart"/>
      <w:r w:rsidRPr="004117BC">
        <w:rPr>
          <w:rStyle w:val="FontStyle21"/>
          <w:rFonts w:ascii="Arial" w:hAnsi="Arial"/>
          <w:color w:val="FFFFFF" w:themeColor="background1"/>
          <w:sz w:val="36"/>
          <w:highlight w:val="black"/>
        </w:rPr>
        <w:t>RealPCR</w:t>
      </w:r>
      <w:proofErr w:type="spellEnd"/>
      <w:r w:rsidRPr="004117BC">
        <w:rPr>
          <w:rStyle w:val="FontStyle21"/>
          <w:rFonts w:ascii="Arial" w:hAnsi="Arial"/>
          <w:color w:val="FFFFFF" w:themeColor="background1"/>
          <w:sz w:val="36"/>
          <w:highlight w:val="black"/>
        </w:rPr>
        <w:t>* CSFV RNA</w:t>
      </w:r>
    </w:p>
    <w:p w14:paraId="4518FF99" w14:textId="77777777" w:rsidR="00954F93" w:rsidRPr="004117BC" w:rsidRDefault="00106E14" w:rsidP="003E1E4F">
      <w:pPr>
        <w:pStyle w:val="Style1"/>
        <w:widowControl/>
        <w:spacing w:line="240" w:lineRule="auto"/>
        <w:ind w:left="2160"/>
        <w:rPr>
          <w:rStyle w:val="FontStyle21"/>
          <w:rFonts w:ascii="Arial" w:hAnsi="Arial" w:cs="Arial"/>
          <w:sz w:val="18"/>
        </w:rPr>
      </w:pPr>
      <w:r w:rsidRPr="004117BC">
        <w:rPr>
          <w:rStyle w:val="FontStyle21"/>
          <w:rFonts w:ascii="Arial" w:hAnsi="Arial"/>
          <w:sz w:val="18"/>
        </w:rPr>
        <w:t>Pouze pro veterinární účely.</w:t>
      </w:r>
    </w:p>
    <w:p w14:paraId="6B12658C" w14:textId="77777777" w:rsidR="00954F93" w:rsidRPr="004117BC" w:rsidRDefault="00106E14" w:rsidP="003E1E4F">
      <w:pPr>
        <w:pStyle w:val="Style2"/>
        <w:widowControl/>
        <w:spacing w:before="168"/>
        <w:rPr>
          <w:rStyle w:val="FontStyle23"/>
          <w:rFonts w:ascii="Arial" w:hAnsi="Arial" w:cs="Arial"/>
          <w:sz w:val="20"/>
        </w:rPr>
      </w:pPr>
      <w:r w:rsidRPr="004117BC">
        <w:rPr>
          <w:rStyle w:val="FontStyle23"/>
          <w:rFonts w:ascii="Arial" w:hAnsi="Arial"/>
          <w:sz w:val="20"/>
        </w:rPr>
        <w:t xml:space="preserve">Název </w:t>
      </w:r>
      <w:r w:rsidR="00672BE3" w:rsidRPr="004117BC">
        <w:rPr>
          <w:rStyle w:val="FontStyle23"/>
          <w:rFonts w:ascii="Arial" w:hAnsi="Arial"/>
          <w:sz w:val="20"/>
        </w:rPr>
        <w:t>a </w:t>
      </w:r>
      <w:r w:rsidRPr="004117BC">
        <w:rPr>
          <w:rStyle w:val="FontStyle23"/>
          <w:rFonts w:ascii="Arial" w:hAnsi="Arial"/>
          <w:sz w:val="20"/>
        </w:rPr>
        <w:t>určené použití</w:t>
      </w:r>
    </w:p>
    <w:p w14:paraId="3BCEAB50" w14:textId="0C7A8842" w:rsidR="00954F93" w:rsidRPr="004117BC" w:rsidRDefault="00106E14" w:rsidP="003E1E4F">
      <w:pPr>
        <w:pStyle w:val="Style3"/>
        <w:widowControl/>
        <w:spacing w:before="86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Test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CSFV RNA je určen </w:t>
      </w:r>
      <w:r w:rsidR="00672BE3" w:rsidRPr="004117BC">
        <w:rPr>
          <w:rStyle w:val="FontStyle32"/>
          <w:rFonts w:ascii="Arial" w:hAnsi="Arial"/>
          <w:sz w:val="16"/>
        </w:rPr>
        <w:t>k </w:t>
      </w:r>
      <w:r w:rsidRPr="004117BC">
        <w:rPr>
          <w:rStyle w:val="FontStyle32"/>
          <w:rFonts w:ascii="Arial" w:hAnsi="Arial"/>
          <w:sz w:val="16"/>
        </w:rPr>
        <w:t>průkazu RNA viru klasického moru prasat (CSFV) extrahované</w:t>
      </w:r>
      <w:r w:rsidR="00FC6798" w:rsidRPr="004117BC">
        <w:rPr>
          <w:rStyle w:val="FontStyle32"/>
          <w:rFonts w:ascii="Arial" w:hAnsi="Arial"/>
          <w:sz w:val="16"/>
        </w:rPr>
        <w:t>ho</w:t>
      </w:r>
      <w:r w:rsidRPr="004117BC">
        <w:rPr>
          <w:rStyle w:val="FontStyle32"/>
          <w:rFonts w:ascii="Arial" w:hAnsi="Arial"/>
          <w:sz w:val="16"/>
        </w:rPr>
        <w:t xml:space="preserve"> </w:t>
      </w:r>
      <w:r w:rsidR="00672BE3" w:rsidRPr="004117BC">
        <w:rPr>
          <w:rStyle w:val="FontStyle32"/>
          <w:rFonts w:ascii="Arial" w:hAnsi="Arial"/>
          <w:sz w:val="16"/>
        </w:rPr>
        <w:t>z </w:t>
      </w:r>
      <w:r w:rsidRPr="004117BC">
        <w:rPr>
          <w:rStyle w:val="FontStyle32"/>
          <w:rFonts w:ascii="Arial" w:hAnsi="Arial"/>
          <w:sz w:val="16"/>
        </w:rPr>
        <w:t xml:space="preserve">prasečí krve (EDTA), séra, plazmy, orálních tekutin, </w:t>
      </w:r>
      <w:r w:rsidR="00A6599E" w:rsidRPr="004117BC">
        <w:rPr>
          <w:rStyle w:val="FontStyle32"/>
          <w:rFonts w:ascii="Arial" w:hAnsi="Arial"/>
          <w:sz w:val="16"/>
        </w:rPr>
        <w:t>stěrů</w:t>
      </w:r>
      <w:r w:rsidRPr="004117BC">
        <w:rPr>
          <w:rStyle w:val="FontStyle32"/>
          <w:rFonts w:ascii="Arial" w:hAnsi="Arial"/>
          <w:sz w:val="16"/>
        </w:rPr>
        <w:t xml:space="preserve"> nebo tkání, včetně slinivky, ledvin, lymfatických uzlin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tonzil</w:t>
      </w:r>
      <w:r w:rsidR="00A6599E" w:rsidRPr="004117BC">
        <w:rPr>
          <w:rStyle w:val="FontStyle32"/>
          <w:rFonts w:ascii="Arial" w:hAnsi="Arial"/>
          <w:sz w:val="16"/>
        </w:rPr>
        <w:t xml:space="preserve"> u prasat, včetně prasat divokých</w:t>
      </w:r>
      <w:r w:rsidRPr="004117BC">
        <w:rPr>
          <w:rStyle w:val="FontStyle32"/>
          <w:rFonts w:ascii="Arial" w:hAnsi="Arial"/>
          <w:sz w:val="16"/>
        </w:rPr>
        <w:t xml:space="preserve">. Tkáně je možné testovat prostřednictvím směsných vzorků sestávajících maximálně </w:t>
      </w:r>
      <w:r w:rsidR="00672BE3" w:rsidRPr="004117BC">
        <w:rPr>
          <w:rStyle w:val="FontStyle32"/>
          <w:rFonts w:ascii="Arial" w:hAnsi="Arial"/>
          <w:sz w:val="16"/>
        </w:rPr>
        <w:t>z </w:t>
      </w:r>
      <w:r w:rsidRPr="004117BC">
        <w:rPr>
          <w:rStyle w:val="FontStyle32"/>
          <w:rFonts w:ascii="Arial" w:hAnsi="Arial"/>
          <w:sz w:val="16"/>
        </w:rPr>
        <w:t xml:space="preserve">10 individuálních vzorků. Krev (EDTA), plazmu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sérum lze testovat pomocí směsných vzorků sestávajících maximálně </w:t>
      </w:r>
      <w:r w:rsidR="00672BE3" w:rsidRPr="004117BC">
        <w:rPr>
          <w:rStyle w:val="FontStyle32"/>
          <w:rFonts w:ascii="Arial" w:hAnsi="Arial"/>
          <w:sz w:val="16"/>
        </w:rPr>
        <w:t>z </w:t>
      </w:r>
      <w:r w:rsidRPr="004117BC">
        <w:rPr>
          <w:rStyle w:val="FontStyle32"/>
          <w:rFonts w:ascii="Arial" w:hAnsi="Arial"/>
          <w:sz w:val="16"/>
        </w:rPr>
        <w:t xml:space="preserve">20 vzorků. Orální tekutiny je možné testovat ve formě směsných vzorků odebraných </w:t>
      </w:r>
      <w:r w:rsidR="00672BE3" w:rsidRPr="004117BC">
        <w:rPr>
          <w:rStyle w:val="FontStyle32"/>
          <w:rFonts w:ascii="Arial" w:hAnsi="Arial"/>
          <w:sz w:val="16"/>
        </w:rPr>
        <w:t>z </w:t>
      </w:r>
      <w:r w:rsidRPr="004117BC">
        <w:rPr>
          <w:rStyle w:val="FontStyle32"/>
          <w:rFonts w:ascii="Arial" w:hAnsi="Arial"/>
          <w:sz w:val="16"/>
        </w:rPr>
        <w:t xml:space="preserve">kotců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>maximálně 30 prasaty. Testování směsného vzorku, který zahrnuje</w:t>
      </w:r>
      <w:r w:rsidR="00440907">
        <w:rPr>
          <w:rStyle w:val="FontStyle32"/>
          <w:rFonts w:ascii="Arial" w:hAnsi="Arial"/>
          <w:sz w:val="16"/>
        </w:rPr>
        <w:t xml:space="preserve">, </w:t>
      </w:r>
      <w:bookmarkStart w:id="0" w:name="_GoBack"/>
      <w:bookmarkEnd w:id="0"/>
      <w:r w:rsidRPr="004117BC">
        <w:rPr>
          <w:rStyle w:val="FontStyle32"/>
          <w:rFonts w:ascii="Arial" w:hAnsi="Arial"/>
          <w:sz w:val="16"/>
        </w:rPr>
        <w:t>byť jen jediný slab</w:t>
      </w:r>
      <w:r w:rsidR="00FC6798" w:rsidRPr="004117BC">
        <w:rPr>
          <w:rStyle w:val="FontStyle32"/>
          <w:rFonts w:ascii="Arial" w:hAnsi="Arial"/>
          <w:sz w:val="16"/>
        </w:rPr>
        <w:t>ě pozitivní</w:t>
      </w:r>
      <w:r w:rsidRPr="004117BC">
        <w:rPr>
          <w:rStyle w:val="FontStyle32"/>
          <w:rFonts w:ascii="Arial" w:hAnsi="Arial"/>
          <w:sz w:val="16"/>
        </w:rPr>
        <w:t xml:space="preserve"> vzorek (např. </w:t>
      </w:r>
      <w:proofErr w:type="spellStart"/>
      <w:r w:rsidRPr="004117BC">
        <w:rPr>
          <w:rStyle w:val="FontStyle32"/>
          <w:rFonts w:ascii="Arial" w:hAnsi="Arial"/>
          <w:sz w:val="16"/>
        </w:rPr>
        <w:t>Ct</w:t>
      </w:r>
      <w:proofErr w:type="spellEnd"/>
      <w:r w:rsidR="00FC6798" w:rsidRPr="004117BC">
        <w:rPr>
          <w:rStyle w:val="FontStyle32"/>
          <w:rFonts w:ascii="Arial" w:hAnsi="Arial"/>
          <w:sz w:val="16"/>
        </w:rPr>
        <w:t xml:space="preserve"> </w:t>
      </w:r>
      <w:r w:rsidRPr="004117BC">
        <w:rPr>
          <w:rStyle w:val="FontStyle32"/>
          <w:rFonts w:ascii="Arial" w:hAnsi="Arial"/>
          <w:sz w:val="16"/>
        </w:rPr>
        <w:t xml:space="preserve">&gt;32), může vést </w:t>
      </w:r>
      <w:r w:rsidR="00672BE3" w:rsidRPr="004117BC">
        <w:rPr>
          <w:rStyle w:val="FontStyle32"/>
          <w:rFonts w:ascii="Arial" w:hAnsi="Arial"/>
          <w:sz w:val="16"/>
        </w:rPr>
        <w:t>k </w:t>
      </w:r>
      <w:r w:rsidRPr="004117BC">
        <w:rPr>
          <w:rStyle w:val="FontStyle32"/>
          <w:rFonts w:ascii="Arial" w:hAnsi="Arial"/>
          <w:sz w:val="16"/>
        </w:rPr>
        <w:t xml:space="preserve">negativnímu výsledku kvůli </w:t>
      </w:r>
      <w:r w:rsidR="00FC6798" w:rsidRPr="004117BC">
        <w:rPr>
          <w:rStyle w:val="FontStyle32"/>
          <w:rFonts w:ascii="Arial" w:hAnsi="Arial"/>
          <w:sz w:val="16"/>
        </w:rPr>
        <w:t xml:space="preserve">nesprávnému ředění při </w:t>
      </w:r>
      <w:r w:rsidRPr="004117BC">
        <w:rPr>
          <w:rStyle w:val="FontStyle32"/>
          <w:rFonts w:ascii="Arial" w:hAnsi="Arial"/>
          <w:sz w:val="16"/>
        </w:rPr>
        <w:t>příprav</w:t>
      </w:r>
      <w:r w:rsidR="00FC6798" w:rsidRPr="004117BC">
        <w:rPr>
          <w:rStyle w:val="FontStyle32"/>
          <w:rFonts w:ascii="Arial" w:hAnsi="Arial"/>
          <w:sz w:val="16"/>
        </w:rPr>
        <w:t>ě</w:t>
      </w:r>
      <w:r w:rsidRPr="004117BC">
        <w:rPr>
          <w:rStyle w:val="FontStyle32"/>
          <w:rFonts w:ascii="Arial" w:hAnsi="Arial"/>
          <w:sz w:val="16"/>
        </w:rPr>
        <w:t xml:space="preserve"> směsného vzorku.</w:t>
      </w:r>
    </w:p>
    <w:p w14:paraId="028EF4DB" w14:textId="77777777" w:rsidR="00954F93" w:rsidRPr="004117BC" w:rsidRDefault="00106E14" w:rsidP="003E1E4F">
      <w:pPr>
        <w:pStyle w:val="Style2"/>
        <w:widowControl/>
        <w:spacing w:before="211"/>
        <w:rPr>
          <w:rStyle w:val="FontStyle23"/>
          <w:rFonts w:ascii="Arial" w:hAnsi="Arial" w:cs="Arial"/>
          <w:sz w:val="20"/>
        </w:rPr>
      </w:pPr>
      <w:r w:rsidRPr="004117BC">
        <w:rPr>
          <w:rStyle w:val="FontStyle23"/>
          <w:rFonts w:ascii="Arial" w:hAnsi="Arial"/>
          <w:sz w:val="20"/>
        </w:rPr>
        <w:t>Obecné informace</w:t>
      </w:r>
    </w:p>
    <w:p w14:paraId="41543267" w14:textId="77777777" w:rsidR="00954F93" w:rsidRPr="004117BC" w:rsidRDefault="00106E14" w:rsidP="003E1E4F">
      <w:pPr>
        <w:pStyle w:val="Style3"/>
        <w:widowControl/>
        <w:spacing w:before="82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CSFV je původcem klasického moru prasat (CSF), vysoce nakažlivé hemoragické choroby postihující divoká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domácí prasata. CSF se vyznačuje vysokou morbiditou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mortalitou, což způsobuje závažné ekonomické ztráty chovatelů</w:t>
      </w:r>
      <w:r w:rsidR="00FC6798" w:rsidRPr="004117BC">
        <w:rPr>
          <w:rStyle w:val="FontStyle32"/>
          <w:rFonts w:ascii="Arial" w:hAnsi="Arial"/>
          <w:sz w:val="16"/>
        </w:rPr>
        <w:t>m</w:t>
      </w:r>
      <w:r w:rsidRPr="004117BC">
        <w:rPr>
          <w:rStyle w:val="FontStyle32"/>
          <w:rFonts w:ascii="Arial" w:hAnsi="Arial"/>
          <w:sz w:val="16"/>
        </w:rPr>
        <w:t xml:space="preserve"> prasat. Tato choroba je na seznamu nebezpečných nákaz Světové organizace pro zdraví zvířat (OIE).</w:t>
      </w:r>
    </w:p>
    <w:p w14:paraId="561E5FC7" w14:textId="77777777" w:rsidR="00954F93" w:rsidRPr="004117BC" w:rsidRDefault="00106E14" w:rsidP="003E1E4F">
      <w:pPr>
        <w:pStyle w:val="Style3"/>
        <w:widowControl/>
        <w:spacing w:before="178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Prasata nakažená CSFV mohou vylučovat velké množství viru ještě předtím, než začnou vykazovat klinické příznaky choroby. </w:t>
      </w:r>
      <w:r w:rsidR="00F3627D" w:rsidRPr="004117BC">
        <w:rPr>
          <w:rStyle w:val="FontStyle32"/>
          <w:rFonts w:ascii="Arial" w:hAnsi="Arial"/>
          <w:sz w:val="16"/>
        </w:rPr>
        <w:t xml:space="preserve">Pokud zvířata přežijí akutní nebo subakutní infekci, mohou se stát chronicky nakaženými jedinci, kteří virus přerušovaně nebo kontinuálně vylučují po celý život. </w:t>
      </w:r>
      <w:r w:rsidR="00672BE3" w:rsidRPr="004117BC">
        <w:rPr>
          <w:rStyle w:val="FontStyle32"/>
          <w:rFonts w:ascii="Arial" w:hAnsi="Arial"/>
          <w:sz w:val="16"/>
        </w:rPr>
        <w:t>U </w:t>
      </w:r>
      <w:r w:rsidRPr="004117BC">
        <w:rPr>
          <w:rStyle w:val="FontStyle32"/>
          <w:rFonts w:ascii="Arial" w:hAnsi="Arial"/>
          <w:sz w:val="16"/>
        </w:rPr>
        <w:t xml:space="preserve">březích prasnic může CSFV přecházet přes placentu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infikovat plody, což vede </w:t>
      </w:r>
      <w:r w:rsidR="00672BE3" w:rsidRPr="004117BC">
        <w:rPr>
          <w:rStyle w:val="FontStyle32"/>
          <w:rFonts w:ascii="Arial" w:hAnsi="Arial"/>
          <w:sz w:val="16"/>
        </w:rPr>
        <w:t>k </w:t>
      </w:r>
      <w:r w:rsidRPr="004117BC">
        <w:rPr>
          <w:rStyle w:val="FontStyle32"/>
          <w:rFonts w:ascii="Arial" w:hAnsi="Arial"/>
          <w:sz w:val="16"/>
        </w:rPr>
        <w:t xml:space="preserve">abortům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případům mumifikace plodů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mrtvě narozených selat. Pokud jsou prasnice nakaženy uprostřed gestace (zhruba 50</w:t>
      </w:r>
      <w:r w:rsidR="00FC6798" w:rsidRPr="004117BC">
        <w:rPr>
          <w:rStyle w:val="FontStyle32"/>
          <w:rFonts w:ascii="Arial" w:hAnsi="Arial"/>
          <w:sz w:val="16"/>
        </w:rPr>
        <w:t>–</w:t>
      </w:r>
      <w:r w:rsidRPr="004117BC">
        <w:rPr>
          <w:rStyle w:val="FontStyle32"/>
          <w:rFonts w:ascii="Arial" w:hAnsi="Arial"/>
          <w:sz w:val="16"/>
        </w:rPr>
        <w:t>70 dnů březosti), mohou se jim narodit slabá nebo perzistentně viremická selata. Tato perzistentně nakažená selata mohou vylučovat velké množství viru po dobu několika měsíců.</w:t>
      </w:r>
    </w:p>
    <w:p w14:paraId="664D3546" w14:textId="1B018030" w:rsidR="00954F93" w:rsidRPr="004117BC" w:rsidRDefault="00106E14" w:rsidP="003E1E4F">
      <w:pPr>
        <w:pStyle w:val="Style3"/>
        <w:widowControl/>
        <w:spacing w:before="178" w:line="240" w:lineRule="auto"/>
        <w:jc w:val="both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IDEXX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je modulární systém,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němž jsou cílové směsi specifické pro dané onemocnění spárovány se standardizovanými směsmi vzorové DNA nebo RNA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jednou směsnou pozitivní kontrolou. Reagencie jsou baleny individuálně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prodávány zvlášť, aby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>nimi bylo možné manipulovat</w:t>
      </w:r>
      <w:r w:rsidR="00440907">
        <w:rPr>
          <w:rStyle w:val="FontStyle32"/>
          <w:rFonts w:ascii="Arial" w:hAnsi="Arial"/>
          <w:sz w:val="16"/>
        </w:rPr>
        <w:t>,</w:t>
      </w:r>
      <w:r w:rsidRPr="004117BC">
        <w:rPr>
          <w:rStyle w:val="FontStyle32"/>
          <w:rFonts w:ascii="Arial" w:hAnsi="Arial"/>
          <w:sz w:val="16"/>
        </w:rPr>
        <w:t xml:space="preserve"> pokud možno flexibilně.</w:t>
      </w:r>
    </w:p>
    <w:p w14:paraId="3B01B26B" w14:textId="77777777" w:rsidR="00954F93" w:rsidRPr="004117BC" w:rsidRDefault="00106E14" w:rsidP="003E1E4F">
      <w:pPr>
        <w:pStyle w:val="Style3"/>
        <w:widowControl/>
        <w:spacing w:before="182" w:line="240" w:lineRule="auto"/>
        <w:rPr>
          <w:rStyle w:val="FontStyle32"/>
          <w:rFonts w:ascii="Arial" w:hAnsi="Arial" w:cs="Arial"/>
          <w:sz w:val="16"/>
        </w:rPr>
        <w:sectPr w:rsidR="00954F93" w:rsidRPr="004117BC" w:rsidSect="009E353A">
          <w:headerReference w:type="default" r:id="rId7"/>
          <w:type w:val="continuous"/>
          <w:pgSz w:w="11907" w:h="16839" w:code="9"/>
          <w:pgMar w:top="1417" w:right="1417" w:bottom="1417" w:left="1417" w:header="708" w:footer="708" w:gutter="0"/>
          <w:cols w:space="60"/>
          <w:noEndnote/>
          <w:docGrid w:linePitch="326"/>
        </w:sectPr>
      </w:pPr>
      <w:r w:rsidRPr="004117BC">
        <w:rPr>
          <w:rStyle w:val="FontStyle32"/>
          <w:rFonts w:ascii="Arial" w:hAnsi="Arial"/>
          <w:sz w:val="16"/>
        </w:rPr>
        <w:t xml:space="preserve">Směs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CSFV RNA Mix (směs CSFV RNA Mix) obsahuje </w:t>
      </w:r>
      <w:proofErr w:type="spellStart"/>
      <w:r w:rsidRPr="004117BC">
        <w:rPr>
          <w:rStyle w:val="FontStyle32"/>
          <w:rFonts w:ascii="Arial" w:hAnsi="Arial"/>
          <w:sz w:val="16"/>
        </w:rPr>
        <w:t>primery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sondy pro detekci CSFV RNA při amplifikaci se směsí vzorové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RNA (RNA </w:t>
      </w:r>
      <w:proofErr w:type="spellStart"/>
      <w:r w:rsidRPr="004117BC">
        <w:rPr>
          <w:rStyle w:val="FontStyle32"/>
          <w:rFonts w:ascii="Arial" w:hAnsi="Arial"/>
          <w:sz w:val="16"/>
        </w:rPr>
        <w:t>MMx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). Analýza je založena na </w:t>
      </w:r>
      <w:r w:rsidR="00FC6798" w:rsidRPr="004117BC">
        <w:rPr>
          <w:rStyle w:val="FontStyle32"/>
          <w:rFonts w:ascii="Arial" w:hAnsi="Arial"/>
          <w:sz w:val="16"/>
        </w:rPr>
        <w:t xml:space="preserve">principu </w:t>
      </w:r>
      <w:proofErr w:type="spellStart"/>
      <w:r w:rsidR="00FC6798" w:rsidRPr="004117BC">
        <w:rPr>
          <w:rStyle w:val="FontStyle32"/>
          <w:rFonts w:ascii="Arial" w:hAnsi="Arial"/>
          <w:sz w:val="16"/>
        </w:rPr>
        <w:t>one</w:t>
      </w:r>
      <w:proofErr w:type="spellEnd"/>
      <w:r w:rsidR="00FC6798" w:rsidRPr="004117BC">
        <w:rPr>
          <w:rStyle w:val="FontStyle32"/>
          <w:rFonts w:ascii="Arial" w:hAnsi="Arial"/>
          <w:sz w:val="16"/>
        </w:rPr>
        <w:t>-tube RT-PCR.</w:t>
      </w:r>
      <w:r w:rsidRPr="004117BC">
        <w:rPr>
          <w:rStyle w:val="FontStyle32"/>
          <w:rFonts w:ascii="Arial" w:hAnsi="Arial"/>
          <w:sz w:val="16"/>
        </w:rPr>
        <w:t xml:space="preserve"> Interní kontrola testu vychází </w:t>
      </w:r>
      <w:r w:rsidR="00672BE3" w:rsidRPr="004117BC">
        <w:rPr>
          <w:rStyle w:val="FontStyle32"/>
          <w:rFonts w:ascii="Arial" w:hAnsi="Arial"/>
          <w:sz w:val="16"/>
        </w:rPr>
        <w:t>z </w:t>
      </w:r>
      <w:r w:rsidRPr="004117BC">
        <w:rPr>
          <w:rStyle w:val="FontStyle32"/>
          <w:rFonts w:ascii="Arial" w:hAnsi="Arial"/>
          <w:sz w:val="16"/>
        </w:rPr>
        <w:t xml:space="preserve">průkazu endogenní </w:t>
      </w:r>
      <w:proofErr w:type="spellStart"/>
      <w:r w:rsidRPr="004117BC">
        <w:rPr>
          <w:rStyle w:val="FontStyle32"/>
          <w:rFonts w:ascii="Arial" w:hAnsi="Arial"/>
          <w:sz w:val="16"/>
        </w:rPr>
        <w:t>porcinní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sekvence RNA přítomné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hostitelském vzorku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označuje se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tomto protokolu jako interní kontrola vzorku (ISC). Průkaz endogenní RNA </w:t>
      </w:r>
      <w:r w:rsidR="00672BE3" w:rsidRPr="004117BC">
        <w:rPr>
          <w:rStyle w:val="FontStyle32"/>
          <w:rFonts w:ascii="Arial" w:hAnsi="Arial"/>
          <w:sz w:val="16"/>
        </w:rPr>
        <w:t>v </w:t>
      </w:r>
      <w:proofErr w:type="spellStart"/>
      <w:r w:rsidRPr="004117BC">
        <w:rPr>
          <w:rStyle w:val="FontStyle32"/>
          <w:rFonts w:ascii="Arial" w:hAnsi="Arial"/>
          <w:sz w:val="16"/>
        </w:rPr>
        <w:t>porcinních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vzorcích </w:t>
      </w:r>
      <w:r w:rsidR="00FC6798" w:rsidRPr="004117BC">
        <w:rPr>
          <w:rStyle w:val="FontStyle32"/>
          <w:rFonts w:ascii="Arial" w:hAnsi="Arial"/>
          <w:sz w:val="16"/>
        </w:rPr>
        <w:t xml:space="preserve">zohledňuje </w:t>
      </w:r>
      <w:r w:rsidRPr="004117BC">
        <w:rPr>
          <w:rStyle w:val="FontStyle32"/>
          <w:rFonts w:ascii="Arial" w:hAnsi="Arial"/>
          <w:sz w:val="16"/>
        </w:rPr>
        <w:t xml:space="preserve">aplikaci, extrakci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amplifikaci vzorku. Směs CSFV RNA Mix obsahuje </w:t>
      </w:r>
      <w:proofErr w:type="spellStart"/>
      <w:r w:rsidRPr="004117BC">
        <w:rPr>
          <w:rStyle w:val="FontStyle32"/>
          <w:rFonts w:ascii="Arial" w:hAnsi="Arial"/>
          <w:sz w:val="16"/>
        </w:rPr>
        <w:t>primery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sondu pro průkaz interní kontroly vzorku. </w:t>
      </w:r>
      <w:r w:rsidR="00672BE3" w:rsidRPr="004117BC">
        <w:rPr>
          <w:rStyle w:val="FontStyle32"/>
          <w:rFonts w:ascii="Arial" w:hAnsi="Arial"/>
          <w:sz w:val="16"/>
        </w:rPr>
        <w:t>K </w:t>
      </w:r>
      <w:r w:rsidRPr="004117BC">
        <w:rPr>
          <w:rStyle w:val="FontStyle32"/>
          <w:rFonts w:ascii="Arial" w:hAnsi="Arial"/>
          <w:sz w:val="16"/>
        </w:rPr>
        <w:t xml:space="preserve">dispozici je také volitelná interní pozitivní kontrola, jmenovitě interní pozitivní kontrola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</w:t>
      </w:r>
      <w:proofErr w:type="gramStart"/>
      <w:r w:rsidRPr="004117BC">
        <w:rPr>
          <w:rStyle w:val="FontStyle32"/>
          <w:rFonts w:ascii="Arial" w:hAnsi="Arial"/>
          <w:sz w:val="16"/>
        </w:rPr>
        <w:t>IPC &gt;</w:t>
      </w:r>
      <w:proofErr w:type="gramEnd"/>
      <w:r w:rsidRPr="004117BC">
        <w:rPr>
          <w:rStyle w:val="FontStyle32"/>
          <w:rFonts w:ascii="Arial" w:hAnsi="Arial"/>
          <w:sz w:val="16"/>
        </w:rPr>
        <w:t xml:space="preserve"> v1.1), kterou je třeba použít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případě nízké hladiny endogenní hostitelské RNA nebo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situaci, kdy je její přítomnost po extrakci nepravděpodobná (např. vzorky </w:t>
      </w:r>
      <w:r w:rsidR="00672BE3" w:rsidRPr="004117BC">
        <w:rPr>
          <w:rStyle w:val="FontStyle32"/>
          <w:rFonts w:ascii="Arial" w:hAnsi="Arial"/>
          <w:sz w:val="16"/>
        </w:rPr>
        <w:t>z </w:t>
      </w:r>
      <w:r w:rsidRPr="004117BC">
        <w:rPr>
          <w:rStyle w:val="FontStyle32"/>
          <w:rFonts w:ascii="Arial" w:hAnsi="Arial"/>
          <w:sz w:val="16"/>
        </w:rPr>
        <w:t xml:space="preserve">prostředí). IPC obsahuje syntetickou verzi </w:t>
      </w:r>
      <w:proofErr w:type="spellStart"/>
      <w:r w:rsidRPr="004117BC">
        <w:rPr>
          <w:rStyle w:val="FontStyle32"/>
          <w:rFonts w:ascii="Arial" w:hAnsi="Arial"/>
          <w:sz w:val="16"/>
        </w:rPr>
        <w:t>porcinního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cíle ISC RNA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je tudíž kompatibilní se směsí CSFV RNA Mix.  Viz pokyny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příbalovém letáku </w:t>
      </w:r>
      <w:r w:rsidR="00672BE3" w:rsidRPr="004117BC">
        <w:rPr>
          <w:rStyle w:val="FontStyle32"/>
          <w:rFonts w:ascii="Arial" w:hAnsi="Arial"/>
          <w:sz w:val="16"/>
        </w:rPr>
        <w:t>k </w:t>
      </w:r>
      <w:r w:rsidRPr="004117BC">
        <w:rPr>
          <w:rStyle w:val="FontStyle32"/>
          <w:rFonts w:ascii="Arial" w:hAnsi="Arial"/>
          <w:sz w:val="16"/>
        </w:rPr>
        <w:t xml:space="preserve">interní pozitivní kontrole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(REF 99-56330).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5"/>
        <w:gridCol w:w="990"/>
        <w:gridCol w:w="1376"/>
        <w:gridCol w:w="1298"/>
        <w:gridCol w:w="1347"/>
        <w:gridCol w:w="1322"/>
      </w:tblGrid>
      <w:tr w:rsidR="008C0161" w:rsidRPr="004117BC" w14:paraId="32EDB43B" w14:textId="77777777" w:rsidTr="00636237">
        <w:trPr>
          <w:trHeight w:val="384"/>
        </w:trPr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6939A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left="102"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lastRenderedPageBreak/>
              <w:t>Označení / obecné informace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F967E5" w14:textId="77777777" w:rsidR="008C0161" w:rsidRPr="004117BC" w:rsidRDefault="008C0161" w:rsidP="00636237">
            <w:pPr>
              <w:pStyle w:val="Style4"/>
              <w:spacing w:line="240" w:lineRule="auto"/>
              <w:ind w:firstLine="9"/>
              <w:jc w:val="center"/>
              <w:rPr>
                <w:rFonts w:ascii="Arial" w:hAnsi="Arial" w:cs="Arial"/>
                <w:sz w:val="28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Barva uzávěru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1373B6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Množství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4AFDD0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Uchovávání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7CF3B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Cykly</w:t>
            </w:r>
          </w:p>
          <w:p w14:paraId="1DD5ECE4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zmrazení/rozmrazení</w:t>
            </w:r>
          </w:p>
        </w:tc>
      </w:tr>
      <w:tr w:rsidR="008C0161" w:rsidRPr="004117BC" w14:paraId="6179DF24" w14:textId="77777777" w:rsidTr="00636237">
        <w:trPr>
          <w:trHeight w:val="205"/>
        </w:trPr>
        <w:tc>
          <w:tcPr>
            <w:tcW w:w="26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80742" w14:textId="77777777" w:rsidR="008C0161" w:rsidRPr="004117BC" w:rsidRDefault="008C0161" w:rsidP="00636237">
            <w:pPr>
              <w:widowControl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  <w:p w14:paraId="6EAB6848" w14:textId="77777777" w:rsidR="008C0161" w:rsidRPr="004117BC" w:rsidRDefault="008C0161" w:rsidP="00636237">
            <w:pPr>
              <w:widowControl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CC9548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87C034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100 testů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E54497" w14:textId="77777777" w:rsidR="008C0161" w:rsidRPr="004117BC" w:rsidRDefault="008C0161" w:rsidP="0063623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Při převzetí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850316" w14:textId="77777777" w:rsidR="008C0161" w:rsidRPr="004117BC" w:rsidRDefault="008C0161" w:rsidP="00636237">
            <w:pPr>
              <w:pStyle w:val="Style5"/>
              <w:widowControl/>
              <w:spacing w:line="240" w:lineRule="auto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Po rekonstituci</w:t>
            </w:r>
          </w:p>
        </w:tc>
        <w:tc>
          <w:tcPr>
            <w:tcW w:w="132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D43F9A" w14:textId="77777777" w:rsidR="008C0161" w:rsidRPr="004117BC" w:rsidRDefault="008C0161" w:rsidP="00636237">
            <w:pPr>
              <w:pStyle w:val="Style5"/>
              <w:widowControl/>
              <w:spacing w:line="240" w:lineRule="auto"/>
              <w:rPr>
                <w:rStyle w:val="FontStyle32"/>
                <w:rFonts w:ascii="Arial" w:hAnsi="Arial" w:cs="Arial"/>
                <w:sz w:val="16"/>
              </w:rPr>
            </w:pPr>
          </w:p>
          <w:p w14:paraId="0198E445" w14:textId="77777777" w:rsidR="008C0161" w:rsidRPr="004117BC" w:rsidRDefault="008C0161" w:rsidP="00636237">
            <w:pPr>
              <w:pStyle w:val="Style5"/>
              <w:widowControl/>
              <w:spacing w:line="240" w:lineRule="auto"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1CC5C037" w14:textId="77777777" w:rsidTr="003E1E4F">
        <w:trPr>
          <w:trHeight w:val="287"/>
        </w:trPr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B724B23" w14:textId="77777777" w:rsidR="00954F93" w:rsidRPr="004117BC" w:rsidRDefault="00106E14" w:rsidP="003E1E4F">
            <w:pPr>
              <w:pStyle w:val="Style7"/>
              <w:widowControl/>
              <w:spacing w:line="240" w:lineRule="auto"/>
              <w:ind w:right="379"/>
              <w:rPr>
                <w:rStyle w:val="FontStyle22"/>
                <w:rFonts w:ascii="Arial" w:hAnsi="Arial" w:cs="Arial"/>
                <w:sz w:val="16"/>
              </w:rPr>
            </w:pPr>
            <w:r w:rsidRPr="004117BC">
              <w:rPr>
                <w:rStyle w:val="FontStyle22"/>
                <w:rFonts w:ascii="Arial" w:hAnsi="Arial"/>
                <w:sz w:val="16"/>
              </w:rPr>
              <w:t xml:space="preserve">Směs </w:t>
            </w:r>
            <w:proofErr w:type="spellStart"/>
            <w:r w:rsidRPr="004117BC">
              <w:rPr>
                <w:rStyle w:val="FontStyle2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22"/>
                <w:rFonts w:ascii="Arial" w:hAnsi="Arial"/>
                <w:sz w:val="16"/>
              </w:rPr>
              <w:t xml:space="preserve"> CSFV RNA Mix (CSFV RNA Mix), suchá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19A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Žlutá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7A28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1 x 1,0 ml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F66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-25 až 8 °C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5F6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-25 až -15 °C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A39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&lt;6</w:t>
            </w:r>
          </w:p>
        </w:tc>
      </w:tr>
      <w:tr w:rsidR="00954F93" w:rsidRPr="004117BC" w14:paraId="64593777" w14:textId="77777777" w:rsidTr="003E1E4F">
        <w:trPr>
          <w:trHeight w:val="229"/>
        </w:trPr>
        <w:tc>
          <w:tcPr>
            <w:tcW w:w="2645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96BB9D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64C598B0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67F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38BD319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7B8B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0BA46FD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DF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09E47E65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05E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0E01E80E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1382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21696BCC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4BF8B068" w14:textId="77777777" w:rsidTr="003E1E4F">
        <w:trPr>
          <w:trHeight w:val="384"/>
        </w:trPr>
        <w:tc>
          <w:tcPr>
            <w:tcW w:w="2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B1BF93" w14:textId="77777777" w:rsidR="00954F93" w:rsidRPr="004117BC" w:rsidRDefault="003E1E4F" w:rsidP="003E1E4F">
            <w:pPr>
              <w:pStyle w:val="Style4"/>
              <w:widowControl/>
              <w:spacing w:line="240" w:lineRule="auto"/>
              <w:ind w:left="250" w:firstLine="0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REF 99-56022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F411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115A0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7882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ED84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89CA1D2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3EF3F39D" w14:textId="77777777" w:rsidTr="003E1E4F">
        <w:trPr>
          <w:trHeight w:val="280"/>
        </w:trPr>
        <w:tc>
          <w:tcPr>
            <w:tcW w:w="8978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946BB0" w14:textId="77777777" w:rsidR="00954F93" w:rsidRPr="004117BC" w:rsidRDefault="00106E14" w:rsidP="003E1E4F">
            <w:pPr>
              <w:pStyle w:val="Style6"/>
              <w:widowControl/>
              <w:spacing w:line="240" w:lineRule="auto"/>
              <w:ind w:right="322" w:firstLine="5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 xml:space="preserve">Rekonstituujte pomocí čištěné vody určené pro metodu PCR (PCR Grade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Water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) pro dosažení objemu 1 ml. Směs CSFV RNA Mix uchovávejte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v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temnu. Datum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expirace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na lahvičce platí pro suchou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i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rekonstituovanou formu. Etiketa na zkumavce se směsí CSFV RNA Mix označuje verzi PC, která je kompatibilní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s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cílovou směsí. Příklad: </w:t>
            </w:r>
            <w:proofErr w:type="gramStart"/>
            <w:r w:rsidRPr="004117BC">
              <w:rPr>
                <w:rStyle w:val="FontStyle32"/>
                <w:rFonts w:ascii="Arial" w:hAnsi="Arial"/>
                <w:sz w:val="16"/>
              </w:rPr>
              <w:t>PC &gt;</w:t>
            </w:r>
            <w:proofErr w:type="gramEnd"/>
            <w:r w:rsidRPr="004117BC">
              <w:rPr>
                <w:rStyle w:val="FontStyle32"/>
                <w:rFonts w:ascii="Arial" w:hAnsi="Arial"/>
                <w:sz w:val="16"/>
              </w:rPr>
              <w:t xml:space="preserve"> v1.4 znamená, že cílovou směs je možné použít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s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PC verzí 1.4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a </w:t>
            </w:r>
            <w:r w:rsidRPr="004117BC">
              <w:rPr>
                <w:rStyle w:val="FontStyle32"/>
                <w:rFonts w:ascii="Arial" w:hAnsi="Arial"/>
                <w:sz w:val="16"/>
              </w:rPr>
              <w:t>novějšími verzemi.</w:t>
            </w:r>
          </w:p>
        </w:tc>
      </w:tr>
      <w:tr w:rsidR="00954F93" w:rsidRPr="004117BC" w14:paraId="2076CAEB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D59C1D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30D2C25A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20F9D712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535325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7FA967A3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433BD3EE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94F3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7CAAE5B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6566EA3E" w14:textId="77777777" w:rsidTr="003E1E4F">
        <w:trPr>
          <w:trHeight w:val="214"/>
        </w:trPr>
        <w:tc>
          <w:tcPr>
            <w:tcW w:w="26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3E36B0" w14:textId="77777777" w:rsidR="00954F93" w:rsidRPr="004117BC" w:rsidRDefault="00106E14" w:rsidP="003E1E4F">
            <w:pPr>
              <w:pStyle w:val="Style7"/>
              <w:widowControl/>
              <w:spacing w:line="240" w:lineRule="auto"/>
              <w:ind w:right="278"/>
              <w:rPr>
                <w:rStyle w:val="FontStyle22"/>
                <w:rFonts w:ascii="Arial" w:hAnsi="Arial" w:cs="Arial"/>
                <w:sz w:val="16"/>
              </w:rPr>
            </w:pPr>
            <w:r w:rsidRPr="004117BC">
              <w:rPr>
                <w:rStyle w:val="FontStyle22"/>
                <w:rFonts w:ascii="Arial" w:hAnsi="Arial"/>
                <w:sz w:val="16"/>
              </w:rPr>
              <w:t xml:space="preserve">Vzorová směs </w:t>
            </w:r>
            <w:proofErr w:type="spellStart"/>
            <w:r w:rsidRPr="004117BC">
              <w:rPr>
                <w:rStyle w:val="FontStyle2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22"/>
                <w:rFonts w:ascii="Arial" w:hAnsi="Arial"/>
                <w:sz w:val="16"/>
              </w:rPr>
              <w:t xml:space="preserve"> RNA Master Mix (RNA </w:t>
            </w:r>
            <w:proofErr w:type="spellStart"/>
            <w:r w:rsidRPr="004117BC">
              <w:rPr>
                <w:rStyle w:val="FontStyle22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22"/>
                <w:rFonts w:ascii="Arial" w:hAnsi="Arial"/>
                <w:sz w:val="16"/>
              </w:rPr>
              <w:t>)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C4E6FD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Černá</w:t>
            </w:r>
          </w:p>
        </w:tc>
        <w:tc>
          <w:tcPr>
            <w:tcW w:w="1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6DE44B7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1 x 1,0 ml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FEDAED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-25 až -15 °C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72183A6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N/A</w:t>
            </w:r>
          </w:p>
        </w:tc>
        <w:tc>
          <w:tcPr>
            <w:tcW w:w="132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BC45111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&lt;6</w:t>
            </w:r>
          </w:p>
        </w:tc>
      </w:tr>
      <w:tr w:rsidR="00954F93" w:rsidRPr="004117BC" w14:paraId="232B37CE" w14:textId="77777777" w:rsidTr="003E1E4F">
        <w:trPr>
          <w:trHeight w:val="205"/>
        </w:trPr>
        <w:tc>
          <w:tcPr>
            <w:tcW w:w="26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352A1C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6A9D48FD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6036E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14BE4D8F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B21C12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42EBD66D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8DDF0C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(dlouhodobě)</w:t>
            </w:r>
          </w:p>
        </w:tc>
        <w:tc>
          <w:tcPr>
            <w:tcW w:w="13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B2CC31" w14:textId="77777777" w:rsidR="00954F93" w:rsidRPr="004117BC" w:rsidRDefault="00954F93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  <w:p w14:paraId="7B503EF3" w14:textId="77777777" w:rsidR="00954F93" w:rsidRPr="004117BC" w:rsidRDefault="00954F93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</w:tc>
        <w:tc>
          <w:tcPr>
            <w:tcW w:w="13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8BF799" w14:textId="77777777" w:rsidR="00954F93" w:rsidRPr="004117BC" w:rsidRDefault="00954F93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  <w:p w14:paraId="24A68439" w14:textId="77777777" w:rsidR="00954F93" w:rsidRPr="004117BC" w:rsidRDefault="00954F93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152A7E83" w14:textId="77777777" w:rsidTr="003E1E4F">
        <w:trPr>
          <w:trHeight w:val="384"/>
        </w:trPr>
        <w:tc>
          <w:tcPr>
            <w:tcW w:w="2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089D0C" w14:textId="77777777" w:rsidR="00954F93" w:rsidRPr="004117BC" w:rsidRDefault="003E1E4F" w:rsidP="003E1E4F">
            <w:pPr>
              <w:pStyle w:val="Style4"/>
              <w:widowControl/>
              <w:spacing w:line="240" w:lineRule="auto"/>
              <w:ind w:left="245" w:firstLine="0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REF 99-56280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7DAC9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526DB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4848BE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1B93F6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0836C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4064FD25" w14:textId="77777777" w:rsidTr="003E1E4F">
        <w:trPr>
          <w:trHeight w:val="280"/>
        </w:trPr>
        <w:tc>
          <w:tcPr>
            <w:tcW w:w="8978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4411A1" w14:textId="77777777" w:rsidR="00954F93" w:rsidRPr="004117BC" w:rsidRDefault="00106E14" w:rsidP="003E1E4F">
            <w:pPr>
              <w:pStyle w:val="Style6"/>
              <w:widowControl/>
              <w:spacing w:line="240" w:lineRule="auto"/>
              <w:ind w:right="91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 xml:space="preserve">Koncentrovaná vzorová směs, která obsahuje reverzní transkriptázu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a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hot-start polymerázu pro použití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s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cílovými směsmi RNA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v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systému IDEXX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. RNA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je viskóznější než většina vzorových směsí – doporučený způsob manipulace viz část Postup testování. Pro normalizaci objemových nepřesností bylo přidáno referenční barvivo (ROX). Směs RNA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chraňte před světlem.</w:t>
            </w:r>
          </w:p>
        </w:tc>
      </w:tr>
      <w:tr w:rsidR="00954F93" w:rsidRPr="004117BC" w14:paraId="38483E3C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503BFF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0A1A9163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5C4228E5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885146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76A2BD3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2C3F397F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7B653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1B8A85E4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6E52683C" w14:textId="77777777" w:rsidTr="003E1E4F">
        <w:trPr>
          <w:trHeight w:val="455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08D836C" w14:textId="77777777" w:rsidR="00954F93" w:rsidRPr="004117BC" w:rsidRDefault="00106E14" w:rsidP="003E1E4F">
            <w:pPr>
              <w:pStyle w:val="Style7"/>
              <w:widowControl/>
              <w:spacing w:line="240" w:lineRule="auto"/>
              <w:ind w:right="283"/>
              <w:rPr>
                <w:rStyle w:val="FontStyle22"/>
                <w:rFonts w:ascii="Arial" w:hAnsi="Arial" w:cs="Arial"/>
                <w:sz w:val="16"/>
              </w:rPr>
            </w:pPr>
            <w:r w:rsidRPr="004117BC">
              <w:rPr>
                <w:rStyle w:val="FontStyle22"/>
                <w:rFonts w:ascii="Arial" w:hAnsi="Arial"/>
                <w:sz w:val="16"/>
              </w:rPr>
              <w:t xml:space="preserve">Pozitivní kontrola </w:t>
            </w:r>
            <w:proofErr w:type="spellStart"/>
            <w:r w:rsidRPr="004117BC">
              <w:rPr>
                <w:rStyle w:val="FontStyle2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22"/>
                <w:rFonts w:ascii="Arial" w:hAnsi="Arial"/>
                <w:sz w:val="16"/>
              </w:rPr>
              <w:t>, suchá (PC)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8840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Modrá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32B3B2" w14:textId="77777777" w:rsidR="00954F93" w:rsidRPr="004117BC" w:rsidRDefault="00106E14" w:rsidP="008C016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1 x 500 µl</w:t>
            </w: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24B990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-25 až 8 °C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9391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-25 až -15 °C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CFBBD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&lt;6</w:t>
            </w:r>
          </w:p>
        </w:tc>
      </w:tr>
      <w:tr w:rsidR="00954F93" w:rsidRPr="004117BC" w14:paraId="2CD206E5" w14:textId="77777777" w:rsidTr="003E1E4F">
        <w:trPr>
          <w:trHeight w:val="384"/>
        </w:trPr>
        <w:tc>
          <w:tcPr>
            <w:tcW w:w="2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75B942" w14:textId="77777777" w:rsidR="00954F93" w:rsidRPr="004117BC" w:rsidRDefault="003E1E4F" w:rsidP="003E1E4F">
            <w:pPr>
              <w:pStyle w:val="Style4"/>
              <w:widowControl/>
              <w:spacing w:line="240" w:lineRule="auto"/>
              <w:ind w:left="245" w:firstLine="0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REF 99-56310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5115B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BB915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C3410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A2402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84AC4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348B5DB8" w14:textId="77777777" w:rsidTr="003E1E4F">
        <w:trPr>
          <w:trHeight w:val="280"/>
        </w:trPr>
        <w:tc>
          <w:tcPr>
            <w:tcW w:w="8978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5F56A3" w14:textId="77777777" w:rsidR="00954F93" w:rsidRPr="004117BC" w:rsidRDefault="002253EB" w:rsidP="003E1E4F">
            <w:pPr>
              <w:pStyle w:val="Style6"/>
              <w:widowControl/>
              <w:spacing w:line="240" w:lineRule="auto"/>
              <w:ind w:right="394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 xml:space="preserve">Rekonstituujte pomocí čištěné vody určené pro metodu PCR (PCR Grade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Water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>) pro dosažení objemu 500 µl. PC obsahuje všechny cíle (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targets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) IDEXX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a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ISC (včetně cíle pro CSFV)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a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je určena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k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použití se všemi cílovými směsmi IDEXX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. Datum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expirace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na lahvičce platí pro suchou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i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rekonstituovanou formu. PC je označena číslem verze (např. v1.3). Jakmile jsou pro produktovou řadu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vytvořeny nové cílové směsi, cílové sekvence jsou přidány do PC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a </w:t>
            </w:r>
            <w:r w:rsidRPr="004117BC">
              <w:rPr>
                <w:rStyle w:val="FontStyle32"/>
                <w:rFonts w:ascii="Arial" w:hAnsi="Arial"/>
                <w:sz w:val="16"/>
              </w:rPr>
              <w:t>číslo verze PC se aktualizuje (např. v1.3 se zvýší na v1.4).</w:t>
            </w:r>
          </w:p>
        </w:tc>
      </w:tr>
      <w:tr w:rsidR="00954F93" w:rsidRPr="004117BC" w14:paraId="6BE34A6B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971FA7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7DA63244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768F9F48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9AAE47C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7C0C1507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6F2D14EC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DE832A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395AE5C2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455BBF37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888C95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24860ADE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4390EFE1" w14:textId="77777777" w:rsidTr="003E1E4F">
        <w:trPr>
          <w:trHeight w:val="287"/>
        </w:trPr>
        <w:tc>
          <w:tcPr>
            <w:tcW w:w="8978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C36F47" w14:textId="77777777" w:rsidR="00954F93" w:rsidRPr="004117BC" w:rsidRDefault="00106E14" w:rsidP="003E1E4F">
            <w:pPr>
              <w:pStyle w:val="Style6"/>
              <w:widowControl/>
              <w:spacing w:line="240" w:lineRule="auto"/>
              <w:ind w:left="5" w:hanging="5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 xml:space="preserve">PC zahrnuje Signaturu IDEXX (unikátní sekvence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oligonukleotidů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). Přítomnost Signatury IDEXX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v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pracovním prostředí poukazuje na kontaminaci PC. Laboratoře, které chtějí monitorovat kontaminaci PC, mohou detekovat Signaturu IDEXX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s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použitím směsí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PC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Tracker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DNA Mix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a 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 DNA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>.</w:t>
            </w:r>
          </w:p>
        </w:tc>
      </w:tr>
      <w:tr w:rsidR="00954F93" w:rsidRPr="004117BC" w14:paraId="37D48352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4F5299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4020727A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6772088C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A1D3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22530EF8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5D669CC0" w14:textId="77777777" w:rsidTr="003E1E4F">
        <w:trPr>
          <w:trHeight w:val="228"/>
        </w:trPr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BED581" w14:textId="77777777" w:rsidR="00954F93" w:rsidRPr="004117BC" w:rsidRDefault="00106E14" w:rsidP="003E1E4F">
            <w:pPr>
              <w:pStyle w:val="Style7"/>
              <w:widowControl/>
              <w:spacing w:line="240" w:lineRule="auto"/>
              <w:rPr>
                <w:rStyle w:val="FontStyle22"/>
                <w:rFonts w:ascii="Arial" w:hAnsi="Arial" w:cs="Arial"/>
                <w:sz w:val="16"/>
              </w:rPr>
            </w:pPr>
            <w:r w:rsidRPr="004117BC">
              <w:rPr>
                <w:rStyle w:val="FontStyle22"/>
                <w:rFonts w:ascii="Arial" w:hAnsi="Arial"/>
                <w:sz w:val="16"/>
              </w:rPr>
              <w:t xml:space="preserve">Voda </w:t>
            </w:r>
            <w:proofErr w:type="spellStart"/>
            <w:r w:rsidRPr="004117BC">
              <w:rPr>
                <w:rStyle w:val="FontStyle2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22"/>
                <w:rFonts w:ascii="Arial" w:hAnsi="Arial"/>
                <w:sz w:val="16"/>
              </w:rPr>
              <w:t xml:space="preserve"> PCR Grade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65E4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Čirá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C63B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2 x 1,0 ml</w:t>
            </w:r>
          </w:p>
        </w:tc>
        <w:tc>
          <w:tcPr>
            <w:tcW w:w="2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77637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-25 až 8 °C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ED8F9" w14:textId="77777777" w:rsidR="00954F93" w:rsidRPr="004117BC" w:rsidRDefault="00106E14" w:rsidP="003E1E4F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N/A</w:t>
            </w:r>
          </w:p>
        </w:tc>
      </w:tr>
      <w:tr w:rsidR="00954F93" w:rsidRPr="004117BC" w14:paraId="4EE8F554" w14:textId="77777777" w:rsidTr="003E1E4F">
        <w:trPr>
          <w:trHeight w:val="384"/>
        </w:trPr>
        <w:tc>
          <w:tcPr>
            <w:tcW w:w="26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9858DA" w14:textId="77777777" w:rsidR="00954F93" w:rsidRPr="004117BC" w:rsidRDefault="003E1E4F" w:rsidP="003E1E4F">
            <w:pPr>
              <w:pStyle w:val="Style4"/>
              <w:widowControl/>
              <w:spacing w:line="240" w:lineRule="auto"/>
              <w:ind w:left="245" w:firstLine="0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>REF 99-56350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957AA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8E981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6D2170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A8AE4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33163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7A595858" w14:textId="77777777" w:rsidTr="003E1E4F">
        <w:trPr>
          <w:trHeight w:val="280"/>
        </w:trPr>
        <w:tc>
          <w:tcPr>
            <w:tcW w:w="8978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188955" w14:textId="77777777" w:rsidR="00954F93" w:rsidRPr="004117BC" w:rsidRDefault="00106E14" w:rsidP="003E1E4F">
            <w:pPr>
              <w:pStyle w:val="Style6"/>
              <w:widowControl/>
              <w:spacing w:line="240" w:lineRule="auto"/>
              <w:rPr>
                <w:rStyle w:val="FontStyle32"/>
                <w:rFonts w:ascii="Arial" w:hAnsi="Arial" w:cs="Arial"/>
                <w:sz w:val="16"/>
              </w:rPr>
            </w:pPr>
            <w:r w:rsidRPr="004117BC">
              <w:rPr>
                <w:rStyle w:val="FontStyle32"/>
                <w:rFonts w:ascii="Arial" w:hAnsi="Arial"/>
                <w:sz w:val="16"/>
              </w:rPr>
              <w:t xml:space="preserve">Čištěná voda určená pro PCR metodu (PCR Grade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Water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) je kvalifikována pro použití při reverzní transkripci-PCR (RT-PCR). Používá se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k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rekonstituci reagencií </w:t>
            </w:r>
            <w:proofErr w:type="spellStart"/>
            <w:r w:rsidRPr="004117BC">
              <w:rPr>
                <w:rStyle w:val="FontStyle32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2"/>
                <w:rFonts w:ascii="Arial" w:hAnsi="Arial"/>
                <w:sz w:val="16"/>
              </w:rPr>
              <w:t xml:space="preserve">. Používá se také jako PCR negativní kontrola pro každou testovací várku. Lahvičky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s </w:t>
            </w:r>
            <w:r w:rsidRPr="004117BC">
              <w:rPr>
                <w:rStyle w:val="FontStyle32"/>
                <w:rFonts w:ascii="Arial" w:hAnsi="Arial"/>
                <w:sz w:val="16"/>
              </w:rPr>
              <w:t xml:space="preserve">touto vodou nepřesunujte mezi různými pracovními oblastmi PCR. Pro každou oblast je nutné použít samostatnou lahvičku </w:t>
            </w:r>
            <w:r w:rsidR="00672BE3" w:rsidRPr="004117BC">
              <w:rPr>
                <w:rStyle w:val="FontStyle32"/>
                <w:rFonts w:ascii="Arial" w:hAnsi="Arial"/>
                <w:sz w:val="16"/>
              </w:rPr>
              <w:t>s </w:t>
            </w:r>
            <w:r w:rsidRPr="004117BC">
              <w:rPr>
                <w:rStyle w:val="FontStyle32"/>
                <w:rFonts w:ascii="Arial" w:hAnsi="Arial"/>
                <w:sz w:val="16"/>
              </w:rPr>
              <w:t>vodou, aby nedošlo ke kontaminaci.</w:t>
            </w:r>
          </w:p>
        </w:tc>
      </w:tr>
      <w:tr w:rsidR="00954F93" w:rsidRPr="004117BC" w14:paraId="2DD48CF1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9F1956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029BCB57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  <w:tr w:rsidR="00954F93" w:rsidRPr="004117BC" w14:paraId="671805ED" w14:textId="77777777" w:rsidTr="003E1E4F">
        <w:trPr>
          <w:trHeight w:val="229"/>
        </w:trPr>
        <w:tc>
          <w:tcPr>
            <w:tcW w:w="897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C634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  <w:p w14:paraId="19D3A2C4" w14:textId="77777777" w:rsidR="00954F93" w:rsidRPr="004117BC" w:rsidRDefault="00954F93" w:rsidP="003E1E4F">
            <w:pPr>
              <w:widowControl/>
              <w:rPr>
                <w:rStyle w:val="FontStyle32"/>
                <w:rFonts w:ascii="Arial" w:hAnsi="Arial" w:cs="Arial"/>
                <w:sz w:val="16"/>
              </w:rPr>
            </w:pPr>
          </w:p>
        </w:tc>
      </w:tr>
    </w:tbl>
    <w:p w14:paraId="1FA8554D" w14:textId="77777777" w:rsidR="00954F93" w:rsidRPr="004117BC" w:rsidRDefault="00954F93" w:rsidP="003E1E4F">
      <w:pPr>
        <w:widowControl/>
        <w:rPr>
          <w:rStyle w:val="FontStyle32"/>
          <w:rFonts w:ascii="Arial" w:hAnsi="Arial" w:cs="Arial"/>
          <w:sz w:val="16"/>
        </w:rPr>
        <w:sectPr w:rsidR="00954F93" w:rsidRPr="004117BC" w:rsidSect="009E353A">
          <w:pgSz w:w="11907" w:h="16839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17DD3CA6" w14:textId="77777777" w:rsidR="00954F93" w:rsidRPr="004117BC" w:rsidRDefault="00106E14" w:rsidP="003E1E4F">
      <w:pPr>
        <w:pStyle w:val="Style2"/>
        <w:widowControl/>
        <w:rPr>
          <w:rStyle w:val="FontStyle23"/>
          <w:rFonts w:ascii="Arial" w:hAnsi="Arial" w:cs="Arial"/>
          <w:sz w:val="20"/>
        </w:rPr>
      </w:pPr>
      <w:r w:rsidRPr="004117BC">
        <w:rPr>
          <w:rStyle w:val="FontStyle23"/>
          <w:rFonts w:ascii="Arial" w:hAnsi="Arial"/>
          <w:sz w:val="20"/>
        </w:rPr>
        <w:lastRenderedPageBreak/>
        <w:t>Potřebné materiály, které nejsou součástí soupravy</w:t>
      </w:r>
    </w:p>
    <w:p w14:paraId="1D6C5F55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before="10"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Komerční souprava pro extrakci RNA</w:t>
      </w:r>
    </w:p>
    <w:p w14:paraId="61920E1A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Volitelné – centrifuga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 xml:space="preserve">rotorem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adaptéry pro destičky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>více jamkami</w:t>
      </w:r>
    </w:p>
    <w:p w14:paraId="3B33ED90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proofErr w:type="spellStart"/>
      <w:r w:rsidRPr="004117BC">
        <w:rPr>
          <w:rStyle w:val="FontStyle32"/>
          <w:rFonts w:ascii="Arial" w:hAnsi="Arial"/>
          <w:sz w:val="16"/>
        </w:rPr>
        <w:t>Mikrocentrifuga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pro odstřeďování </w:t>
      </w:r>
      <w:proofErr w:type="spellStart"/>
      <w:r w:rsidRPr="004117BC">
        <w:rPr>
          <w:rStyle w:val="FontStyle32"/>
          <w:rFonts w:ascii="Arial" w:hAnsi="Arial"/>
          <w:sz w:val="16"/>
        </w:rPr>
        <w:t>mikrozkumavek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r w:rsidR="00672BE3" w:rsidRPr="004117BC">
        <w:rPr>
          <w:rStyle w:val="FontStyle32"/>
          <w:rFonts w:ascii="Arial" w:hAnsi="Arial"/>
          <w:sz w:val="16"/>
        </w:rPr>
        <w:t>o </w:t>
      </w:r>
      <w:r w:rsidRPr="004117BC">
        <w:rPr>
          <w:rStyle w:val="FontStyle32"/>
          <w:rFonts w:ascii="Arial" w:hAnsi="Arial"/>
          <w:sz w:val="16"/>
        </w:rPr>
        <w:t xml:space="preserve">objemu 2 ml, která může dosáhnout </w:t>
      </w:r>
      <w:proofErr w:type="gramStart"/>
      <w:r w:rsidRPr="004117BC">
        <w:rPr>
          <w:rStyle w:val="FontStyle32"/>
          <w:rFonts w:ascii="Arial" w:hAnsi="Arial"/>
          <w:sz w:val="16"/>
        </w:rPr>
        <w:t>1500 – 3000</w:t>
      </w:r>
      <w:proofErr w:type="gramEnd"/>
      <w:r w:rsidRPr="004117BC">
        <w:rPr>
          <w:rStyle w:val="FontStyle32"/>
          <w:rFonts w:ascii="Arial" w:hAnsi="Arial"/>
          <w:sz w:val="16"/>
        </w:rPr>
        <w:t xml:space="preserve"> × g</w:t>
      </w:r>
    </w:p>
    <w:p w14:paraId="522D794A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Vhodné osobní ochranné pomůcky (např. rukavice, laboratorní plášť)</w:t>
      </w:r>
    </w:p>
    <w:p w14:paraId="3592ECC4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Hroty pipet bez nukleázy, odolné proti aerosolům</w:t>
      </w:r>
    </w:p>
    <w:p w14:paraId="6091EFB8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Sterilní </w:t>
      </w:r>
      <w:proofErr w:type="spellStart"/>
      <w:r w:rsidRPr="004117BC">
        <w:rPr>
          <w:rStyle w:val="FontStyle32"/>
          <w:rFonts w:ascii="Arial" w:hAnsi="Arial"/>
          <w:sz w:val="16"/>
        </w:rPr>
        <w:t>mikrozkumavky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pro přípravu směsi PCR</w:t>
      </w:r>
    </w:p>
    <w:p w14:paraId="59A661D9" w14:textId="77777777" w:rsidR="00954F93" w:rsidRPr="004117BC" w:rsidRDefault="002253EB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Pipety (</w:t>
      </w:r>
      <w:proofErr w:type="gramStart"/>
      <w:r w:rsidRPr="004117BC">
        <w:rPr>
          <w:rStyle w:val="FontStyle32"/>
          <w:rFonts w:ascii="Arial" w:hAnsi="Arial"/>
          <w:sz w:val="16"/>
        </w:rPr>
        <w:t>5 – 1000</w:t>
      </w:r>
      <w:proofErr w:type="gramEnd"/>
      <w:r w:rsidRPr="004117BC">
        <w:rPr>
          <w:rStyle w:val="FontStyle32"/>
          <w:rFonts w:ascii="Arial" w:hAnsi="Arial"/>
          <w:sz w:val="16"/>
        </w:rPr>
        <w:t xml:space="preserve"> µl); speciální pipety pro přípravu směsi PCR</w:t>
      </w:r>
    </w:p>
    <w:p w14:paraId="5F04B346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96 nebo 384jamkové PCR destičky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optické adhezivní fólie/kryty destiček</w:t>
      </w:r>
    </w:p>
    <w:p w14:paraId="525E5E6B" w14:textId="5D14751D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before="24" w:line="240" w:lineRule="auto"/>
        <w:ind w:left="154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Přístroj pro provádění PCR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>reálném čase (</w:t>
      </w:r>
      <w:proofErr w:type="spellStart"/>
      <w:r w:rsidRPr="004117BC">
        <w:rPr>
          <w:rStyle w:val="FontStyle32"/>
          <w:rFonts w:ascii="Arial" w:hAnsi="Arial"/>
          <w:sz w:val="16"/>
        </w:rPr>
        <w:t>Applied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Biosystems</w:t>
      </w:r>
      <w:proofErr w:type="spellEnd"/>
      <w:r w:rsidRPr="004117BC">
        <w:rPr>
          <w:rStyle w:val="FontStyle32"/>
          <w:rFonts w:ascii="Arial" w:hAnsi="Arial"/>
          <w:sz w:val="16"/>
        </w:rPr>
        <w:t>® 7500,</w:t>
      </w:r>
      <w:r w:rsidR="00A6599E"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="00A6599E" w:rsidRPr="004117BC">
        <w:rPr>
          <w:rStyle w:val="FontStyle32"/>
          <w:rFonts w:ascii="Arial" w:hAnsi="Arial"/>
          <w:sz w:val="16"/>
        </w:rPr>
        <w:t>Applied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="00A6599E" w:rsidRPr="004117BC">
        <w:rPr>
          <w:rStyle w:val="FontStyle32"/>
          <w:rFonts w:ascii="Arial" w:hAnsi="Arial"/>
          <w:sz w:val="16"/>
        </w:rPr>
        <w:t>Biosystems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 xml:space="preserve">® 7500 Fast Systém (standard and fast </w:t>
      </w:r>
      <w:proofErr w:type="spellStart"/>
      <w:r w:rsidR="00A6599E" w:rsidRPr="004117BC">
        <w:rPr>
          <w:rStyle w:val="FontStyle32"/>
          <w:rFonts w:ascii="Arial" w:hAnsi="Arial"/>
          <w:sz w:val="16"/>
        </w:rPr>
        <w:t>system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>),</w:t>
      </w:r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Applied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Biosystems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® </w:t>
      </w:r>
      <w:proofErr w:type="spellStart"/>
      <w:r w:rsidRPr="004117BC">
        <w:rPr>
          <w:rStyle w:val="FontStyle32"/>
          <w:rFonts w:ascii="Arial" w:hAnsi="Arial"/>
          <w:sz w:val="16"/>
        </w:rPr>
        <w:t>ViiA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™ 7, </w:t>
      </w:r>
      <w:proofErr w:type="spellStart"/>
      <w:r w:rsidRPr="004117BC">
        <w:rPr>
          <w:rStyle w:val="FontStyle32"/>
          <w:rFonts w:ascii="Arial" w:hAnsi="Arial"/>
          <w:sz w:val="16"/>
        </w:rPr>
        <w:t>Applied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Biosystems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QuantStudio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5,</w:t>
      </w:r>
      <w:r w:rsidR="00A6599E"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="00A6599E" w:rsidRPr="004117BC">
        <w:rPr>
          <w:rStyle w:val="FontStyle32"/>
          <w:rFonts w:ascii="Arial" w:hAnsi="Arial"/>
          <w:sz w:val="16"/>
        </w:rPr>
        <w:t>Applied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="00A6599E" w:rsidRPr="004117BC">
        <w:rPr>
          <w:rStyle w:val="FontStyle32"/>
          <w:rFonts w:ascii="Arial" w:hAnsi="Arial"/>
          <w:sz w:val="16"/>
        </w:rPr>
        <w:t>Biosystems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="00A6599E" w:rsidRPr="004117BC">
        <w:rPr>
          <w:rStyle w:val="FontStyle32"/>
          <w:rFonts w:ascii="Arial" w:hAnsi="Arial"/>
          <w:sz w:val="16"/>
        </w:rPr>
        <w:t>QuantStudio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proofErr w:type="gramStart"/>
      <w:r w:rsidR="00A6599E" w:rsidRPr="004117BC">
        <w:rPr>
          <w:rStyle w:val="FontStyle32"/>
          <w:rFonts w:ascii="Arial" w:hAnsi="Arial"/>
          <w:sz w:val="16"/>
        </w:rPr>
        <w:t>Flex</w:t>
      </w:r>
      <w:proofErr w:type="spellEnd"/>
      <w:r w:rsidR="00A6599E" w:rsidRPr="004117BC">
        <w:rPr>
          <w:rStyle w:val="FontStyle32"/>
          <w:rFonts w:ascii="Arial" w:hAnsi="Arial"/>
          <w:sz w:val="16"/>
        </w:rPr>
        <w:t xml:space="preserve">, </w:t>
      </w:r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Agilent</w:t>
      </w:r>
      <w:proofErr w:type="spellEnd"/>
      <w:proofErr w:type="gramEnd"/>
      <w:r w:rsidRPr="004117BC">
        <w:rPr>
          <w:rStyle w:val="FontStyle32"/>
          <w:rFonts w:ascii="Arial" w:hAnsi="Arial"/>
          <w:sz w:val="16"/>
        </w:rPr>
        <w:t xml:space="preserve"> Mx3000P™, </w:t>
      </w:r>
      <w:proofErr w:type="spellStart"/>
      <w:r w:rsidRPr="004117BC">
        <w:rPr>
          <w:rStyle w:val="FontStyle32"/>
          <w:rFonts w:ascii="Arial" w:hAnsi="Arial"/>
          <w:sz w:val="16"/>
        </w:rPr>
        <w:t>Agilent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Mx3005P™, </w:t>
      </w:r>
      <w:proofErr w:type="spellStart"/>
      <w:r w:rsidRPr="004117BC">
        <w:rPr>
          <w:rStyle w:val="FontStyle32"/>
          <w:rFonts w:ascii="Arial" w:hAnsi="Arial"/>
          <w:sz w:val="16"/>
        </w:rPr>
        <w:t>Agilent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AriaMx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, Bio-Rad CFX96 </w:t>
      </w:r>
      <w:proofErr w:type="spellStart"/>
      <w:r w:rsidRPr="004117BC">
        <w:rPr>
          <w:rStyle w:val="FontStyle32"/>
          <w:rFonts w:ascii="Arial" w:hAnsi="Arial"/>
          <w:sz w:val="16"/>
        </w:rPr>
        <w:t>Touch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™, Bio </w:t>
      </w:r>
      <w:proofErr w:type="spellStart"/>
      <w:r w:rsidRPr="004117BC">
        <w:rPr>
          <w:rStyle w:val="FontStyle32"/>
          <w:rFonts w:ascii="Arial" w:hAnsi="Arial"/>
          <w:sz w:val="16"/>
        </w:rPr>
        <w:t>Molecular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Systems </w:t>
      </w:r>
      <w:proofErr w:type="spellStart"/>
      <w:r w:rsidRPr="004117BC">
        <w:rPr>
          <w:rStyle w:val="FontStyle32"/>
          <w:rFonts w:ascii="Arial" w:hAnsi="Arial"/>
          <w:sz w:val="16"/>
        </w:rPr>
        <w:t>Mic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qPCR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Cycler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, QIAGEN Rotor-Gene [pouze 72jamkový rotor], </w:t>
      </w:r>
      <w:proofErr w:type="spellStart"/>
      <w:r w:rsidRPr="004117BC">
        <w:rPr>
          <w:rStyle w:val="FontStyle32"/>
          <w:rFonts w:ascii="Arial" w:hAnsi="Arial"/>
          <w:sz w:val="16"/>
        </w:rPr>
        <w:t>Roche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LightCycler</w:t>
      </w:r>
      <w:proofErr w:type="spellEnd"/>
      <w:r w:rsidRPr="004117BC">
        <w:rPr>
          <w:rStyle w:val="FontStyle32"/>
          <w:rFonts w:ascii="Arial" w:hAnsi="Arial"/>
          <w:sz w:val="16"/>
          <w:vertAlign w:val="superscript"/>
        </w:rPr>
        <w:t>®</w:t>
      </w:r>
      <w:r w:rsidRPr="004117BC">
        <w:rPr>
          <w:rStyle w:val="FontStyle32"/>
          <w:rFonts w:ascii="Arial" w:hAnsi="Arial"/>
          <w:sz w:val="16"/>
        </w:rPr>
        <w:t xml:space="preserve"> 480 nebo podobný).</w:t>
      </w:r>
    </w:p>
    <w:p w14:paraId="09590E7C" w14:textId="77777777" w:rsidR="00954F93" w:rsidRPr="004117BC" w:rsidRDefault="00106E14" w:rsidP="003E1E4F">
      <w:pPr>
        <w:pStyle w:val="Style3"/>
        <w:widowControl/>
        <w:spacing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22"/>
          <w:rFonts w:ascii="Arial" w:hAnsi="Arial"/>
          <w:sz w:val="16"/>
        </w:rPr>
        <w:t xml:space="preserve">Poznámka: </w:t>
      </w:r>
      <w:r w:rsidRPr="004117BC">
        <w:rPr>
          <w:rStyle w:val="FontStyle32"/>
          <w:rFonts w:ascii="Arial" w:hAnsi="Arial"/>
          <w:sz w:val="16"/>
        </w:rPr>
        <w:t xml:space="preserve">přístroj </w:t>
      </w:r>
      <w:proofErr w:type="spellStart"/>
      <w:r w:rsidRPr="004117BC">
        <w:rPr>
          <w:rStyle w:val="FontStyle32"/>
          <w:rFonts w:ascii="Arial" w:hAnsi="Arial"/>
          <w:sz w:val="16"/>
        </w:rPr>
        <w:t>Roche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LC480 vyžaduje další kalibraci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nastavení softwaru. Informace </w:t>
      </w:r>
      <w:r w:rsidR="00672BE3" w:rsidRPr="004117BC">
        <w:rPr>
          <w:rStyle w:val="FontStyle32"/>
          <w:rFonts w:ascii="Arial" w:hAnsi="Arial"/>
          <w:sz w:val="16"/>
        </w:rPr>
        <w:t>o </w:t>
      </w:r>
      <w:r w:rsidRPr="004117BC">
        <w:rPr>
          <w:rStyle w:val="FontStyle32"/>
          <w:rFonts w:ascii="Arial" w:hAnsi="Arial"/>
          <w:sz w:val="16"/>
        </w:rPr>
        <w:t xml:space="preserve">používání tohoto přístroje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 xml:space="preserve">reagenciemi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vám poskytnou pracovníci odborné podpory IDEXX.</w:t>
      </w:r>
    </w:p>
    <w:p w14:paraId="388D55D5" w14:textId="77777777" w:rsidR="00954F93" w:rsidRPr="004117BC" w:rsidRDefault="00106E14" w:rsidP="003E1E4F">
      <w:pPr>
        <w:pStyle w:val="Style2"/>
        <w:widowControl/>
        <w:spacing w:before="115"/>
        <w:rPr>
          <w:rStyle w:val="FontStyle23"/>
          <w:rFonts w:ascii="Arial" w:hAnsi="Arial" w:cs="Arial"/>
          <w:sz w:val="20"/>
        </w:rPr>
      </w:pPr>
      <w:r w:rsidRPr="004117BC">
        <w:rPr>
          <w:rStyle w:val="FontStyle23"/>
          <w:rFonts w:ascii="Arial" w:hAnsi="Arial"/>
          <w:sz w:val="20"/>
        </w:rPr>
        <w:t xml:space="preserve">Laboratorní postupy </w:t>
      </w:r>
      <w:r w:rsidR="00672BE3" w:rsidRPr="004117BC">
        <w:rPr>
          <w:rStyle w:val="FontStyle23"/>
          <w:rFonts w:ascii="Arial" w:hAnsi="Arial"/>
          <w:sz w:val="20"/>
        </w:rPr>
        <w:t>a </w:t>
      </w:r>
      <w:r w:rsidRPr="004117BC">
        <w:rPr>
          <w:rStyle w:val="FontStyle23"/>
          <w:rFonts w:ascii="Arial" w:hAnsi="Arial"/>
          <w:sz w:val="20"/>
        </w:rPr>
        <w:t>varování</w:t>
      </w:r>
    </w:p>
    <w:p w14:paraId="21229B5B" w14:textId="40AE8B14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Nepoužívejte reagencie po datu ex</w:t>
      </w:r>
      <w:r w:rsidR="004117BC">
        <w:rPr>
          <w:rStyle w:val="FontStyle32"/>
          <w:rFonts w:ascii="Arial" w:hAnsi="Arial"/>
          <w:sz w:val="16"/>
        </w:rPr>
        <w:t>s</w:t>
      </w:r>
      <w:r w:rsidRPr="004117BC">
        <w:rPr>
          <w:rStyle w:val="FontStyle32"/>
          <w:rFonts w:ascii="Arial" w:hAnsi="Arial"/>
          <w:sz w:val="16"/>
        </w:rPr>
        <w:t>pirace.</w:t>
      </w:r>
    </w:p>
    <w:p w14:paraId="47AEB6C5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Celý proces je nutné provádět za nepřítomnosti nukleázy.</w:t>
      </w:r>
    </w:p>
    <w:p w14:paraId="14A66CB3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line="240" w:lineRule="auto"/>
        <w:ind w:firstLine="0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Při práci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 xml:space="preserve">reagenciemi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nukleovými kyselinami používejte rukavice bez pudru.</w:t>
      </w:r>
    </w:p>
    <w:p w14:paraId="4FA4CD4B" w14:textId="77777777" w:rsidR="00954F93" w:rsidRPr="004117BC" w:rsidRDefault="00106E14" w:rsidP="003E1E4F">
      <w:pPr>
        <w:pStyle w:val="Style9"/>
        <w:widowControl/>
        <w:numPr>
          <w:ilvl w:val="0"/>
          <w:numId w:val="1"/>
        </w:numPr>
        <w:tabs>
          <w:tab w:val="left" w:pos="154"/>
        </w:tabs>
        <w:spacing w:before="19" w:line="240" w:lineRule="auto"/>
        <w:ind w:left="154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Pro zabránění zkřížené kontaminace provádějte veškeré příslušné činnosti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 xml:space="preserve">použitím hrotů pipet bez nukleázy, které jsou odolné vůči aerosolům,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fyzicky separujte pracoviště, kde dochází </w:t>
      </w:r>
      <w:r w:rsidR="00672BE3" w:rsidRPr="004117BC">
        <w:rPr>
          <w:rStyle w:val="FontStyle32"/>
          <w:rFonts w:ascii="Arial" w:hAnsi="Arial"/>
          <w:sz w:val="16"/>
        </w:rPr>
        <w:t>k </w:t>
      </w:r>
      <w:r w:rsidRPr="004117BC">
        <w:rPr>
          <w:rStyle w:val="FontStyle32"/>
          <w:rFonts w:ascii="Arial" w:hAnsi="Arial"/>
          <w:sz w:val="16"/>
        </w:rPr>
        <w:t>extrakci nukleové kyseliny (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manipulaci </w:t>
      </w:r>
      <w:r w:rsidR="00672BE3" w:rsidRPr="004117BC">
        <w:rPr>
          <w:rStyle w:val="FontStyle32"/>
          <w:rFonts w:ascii="Arial" w:hAnsi="Arial"/>
          <w:sz w:val="16"/>
        </w:rPr>
        <w:t>s </w:t>
      </w:r>
      <w:r w:rsidRPr="004117BC">
        <w:rPr>
          <w:rStyle w:val="FontStyle32"/>
          <w:rFonts w:ascii="Arial" w:hAnsi="Arial"/>
          <w:sz w:val="16"/>
        </w:rPr>
        <w:t xml:space="preserve">ní), nastavení PCR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provádění PCR.</w:t>
      </w:r>
    </w:p>
    <w:p w14:paraId="00648DEB" w14:textId="77777777" w:rsidR="00954F93" w:rsidRPr="004117BC" w:rsidRDefault="00106E14" w:rsidP="003E1E4F">
      <w:pPr>
        <w:pStyle w:val="Style2"/>
        <w:widowControl/>
        <w:spacing w:before="96"/>
        <w:rPr>
          <w:rStyle w:val="FontStyle23"/>
          <w:rFonts w:ascii="Arial" w:hAnsi="Arial" w:cs="Arial"/>
          <w:sz w:val="20"/>
        </w:rPr>
      </w:pPr>
      <w:r w:rsidRPr="004117BC">
        <w:rPr>
          <w:rStyle w:val="FontStyle23"/>
          <w:rFonts w:ascii="Arial" w:hAnsi="Arial"/>
          <w:sz w:val="20"/>
        </w:rPr>
        <w:t>Rekonstituce suchých složek</w:t>
      </w:r>
    </w:p>
    <w:p w14:paraId="2CA5116A" w14:textId="55EF269D" w:rsidR="00954F93" w:rsidRPr="004117BC" w:rsidRDefault="00106E14" w:rsidP="003E1E4F">
      <w:pPr>
        <w:pStyle w:val="Style3"/>
        <w:widowControl/>
        <w:spacing w:before="38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Směs CSFV RNA Mix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pozitivní kontrolu rekonstituujte pipetováním vody PCR Grade pro dosažení objemu uvedeného na etiketě příslušné složky. Roztok nechte stát po dobu nejméně 10 minut při teplotě 18 až 26 °C. Před použitím promíchejte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krátce odstřeďte pomocí </w:t>
      </w:r>
      <w:proofErr w:type="spellStart"/>
      <w:r w:rsidRPr="004117BC">
        <w:rPr>
          <w:rStyle w:val="FontStyle32"/>
          <w:rFonts w:ascii="Arial" w:hAnsi="Arial"/>
          <w:sz w:val="16"/>
        </w:rPr>
        <w:t>mikrocentrifugy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. Po rekonstituci směsi CSFV RNA Mix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pozitivní kontroly připravte příslušné </w:t>
      </w:r>
      <w:proofErr w:type="spellStart"/>
      <w:r w:rsidRPr="004117BC">
        <w:rPr>
          <w:rStyle w:val="FontStyle32"/>
          <w:rFonts w:ascii="Arial" w:hAnsi="Arial"/>
          <w:sz w:val="16"/>
        </w:rPr>
        <w:t>alikvoty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roztoky uchovávejte ve zmrazeném stavu. Zmražené složky nechte před použitím rozmrazit po dobu přibližně 15 minut při teplotě 18 až 26 °C, jemně je promíchejte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krátce odstřeďte pomocí </w:t>
      </w:r>
      <w:proofErr w:type="spellStart"/>
      <w:r w:rsidRPr="004117BC">
        <w:rPr>
          <w:rStyle w:val="FontStyle32"/>
          <w:rFonts w:ascii="Arial" w:hAnsi="Arial"/>
          <w:sz w:val="16"/>
        </w:rPr>
        <w:t>mikrocentrifugy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(~1 500 – 3 000 × g).</w:t>
      </w:r>
    </w:p>
    <w:p w14:paraId="5399ED52" w14:textId="77777777" w:rsidR="00954F93" w:rsidRPr="004117BC" w:rsidRDefault="00106E14" w:rsidP="003E1E4F">
      <w:pPr>
        <w:pStyle w:val="Style2"/>
        <w:widowControl/>
        <w:spacing w:before="120"/>
        <w:rPr>
          <w:rStyle w:val="FontStyle23"/>
          <w:rFonts w:ascii="Arial" w:hAnsi="Arial" w:cs="Arial"/>
          <w:sz w:val="20"/>
        </w:rPr>
      </w:pPr>
      <w:r w:rsidRPr="004117BC">
        <w:rPr>
          <w:rStyle w:val="FontStyle23"/>
          <w:rFonts w:ascii="Arial" w:hAnsi="Arial"/>
          <w:sz w:val="20"/>
        </w:rPr>
        <w:t>Extrakce RNA</w:t>
      </w:r>
    </w:p>
    <w:p w14:paraId="53323489" w14:textId="77777777" w:rsidR="00954F93" w:rsidRPr="004117BC" w:rsidRDefault="00106E14" w:rsidP="003E1E4F">
      <w:pPr>
        <w:pStyle w:val="Style3"/>
        <w:widowControl/>
        <w:spacing w:before="38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Směs CSFV RNA Mix byla validována pomocí níže uvedených komerčních extrakčních metod. Je možné použít také další metody extrakce </w:t>
      </w:r>
      <w:r w:rsidR="00672BE3" w:rsidRPr="004117BC">
        <w:rPr>
          <w:rStyle w:val="FontStyle32"/>
          <w:rFonts w:ascii="Arial" w:hAnsi="Arial"/>
          <w:sz w:val="16"/>
        </w:rPr>
        <w:t>a </w:t>
      </w:r>
      <w:proofErr w:type="spellStart"/>
      <w:r w:rsidRPr="004117BC">
        <w:rPr>
          <w:rStyle w:val="FontStyle32"/>
          <w:rFonts w:ascii="Arial" w:hAnsi="Arial"/>
          <w:sz w:val="16"/>
        </w:rPr>
        <w:t>lýzy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, pokud byly validovány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>laboratoři.</w:t>
      </w:r>
    </w:p>
    <w:p w14:paraId="7C47CCBA" w14:textId="0A66BC01" w:rsidR="00A6599E" w:rsidRPr="004117BC" w:rsidRDefault="00A6599E" w:rsidP="00A6599E">
      <w:pPr>
        <w:pStyle w:val="Style3"/>
        <w:widowControl/>
        <w:spacing w:before="91" w:line="240" w:lineRule="auto"/>
        <w:ind w:left="731" w:right="3073"/>
        <w:contextualSpacing/>
        <w:rPr>
          <w:rStyle w:val="FontStyle32"/>
          <w:rFonts w:ascii="Arial" w:hAnsi="Arial"/>
          <w:sz w:val="16"/>
        </w:rPr>
      </w:pP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DNA/RNA </w:t>
      </w:r>
      <w:proofErr w:type="spellStart"/>
      <w:r w:rsidRPr="004117BC">
        <w:rPr>
          <w:rStyle w:val="FontStyle32"/>
          <w:rFonts w:ascii="Arial" w:hAnsi="Arial"/>
          <w:sz w:val="16"/>
        </w:rPr>
        <w:t>Magnetic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Bead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Kit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(IDEXX)</w:t>
      </w:r>
    </w:p>
    <w:p w14:paraId="48164C21" w14:textId="74DDCE7F" w:rsidR="00954F93" w:rsidRPr="004117BC" w:rsidRDefault="00106E14" w:rsidP="00A6599E">
      <w:pPr>
        <w:pStyle w:val="Style3"/>
        <w:widowControl/>
        <w:spacing w:before="91" w:line="240" w:lineRule="auto"/>
        <w:ind w:left="731" w:right="3073"/>
        <w:contextualSpacing/>
        <w:rPr>
          <w:rStyle w:val="FontStyle32"/>
          <w:rFonts w:ascii="Arial" w:hAnsi="Arial" w:cs="Arial"/>
          <w:sz w:val="16"/>
        </w:rPr>
      </w:pP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DNA/RNA Spin </w:t>
      </w:r>
      <w:proofErr w:type="spellStart"/>
      <w:r w:rsidRPr="004117BC">
        <w:rPr>
          <w:rStyle w:val="FontStyle32"/>
          <w:rFonts w:ascii="Arial" w:hAnsi="Arial"/>
          <w:sz w:val="16"/>
        </w:rPr>
        <w:t>Column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Kit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(IDEXX) </w:t>
      </w:r>
      <w:r w:rsidRPr="004117BC">
        <w:rPr>
          <w:rStyle w:val="FontStyle32"/>
          <w:rFonts w:ascii="Arial" w:hAnsi="Arial" w:cs="Arial"/>
          <w:sz w:val="16"/>
        </w:rPr>
        <w:br/>
      </w:r>
      <w:proofErr w:type="spellStart"/>
      <w:r w:rsidRPr="004117BC">
        <w:rPr>
          <w:rStyle w:val="FontStyle32"/>
          <w:rFonts w:ascii="Arial" w:hAnsi="Arial"/>
          <w:sz w:val="16"/>
        </w:rPr>
        <w:t>NucleoSpin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RNA </w:t>
      </w:r>
      <w:proofErr w:type="spellStart"/>
      <w:r w:rsidRPr="004117BC">
        <w:rPr>
          <w:rStyle w:val="FontStyle32"/>
          <w:rFonts w:ascii="Arial" w:hAnsi="Arial"/>
          <w:sz w:val="16"/>
        </w:rPr>
        <w:t>Kit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</w:t>
      </w:r>
      <w:proofErr w:type="spellStart"/>
      <w:r w:rsidRPr="004117BC">
        <w:rPr>
          <w:rStyle w:val="FontStyle32"/>
          <w:rFonts w:ascii="Arial" w:hAnsi="Arial"/>
          <w:sz w:val="16"/>
        </w:rPr>
        <w:t>Machery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Nagel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) </w:t>
      </w:r>
      <w:r w:rsidRPr="004117BC">
        <w:rPr>
          <w:rStyle w:val="FontStyle32"/>
          <w:rFonts w:ascii="Arial" w:hAnsi="Arial" w:cs="Arial"/>
          <w:sz w:val="16"/>
        </w:rPr>
        <w:br/>
      </w:r>
      <w:proofErr w:type="spellStart"/>
      <w:r w:rsidRPr="004117BC">
        <w:rPr>
          <w:rStyle w:val="FontStyle32"/>
          <w:rFonts w:ascii="Arial" w:hAnsi="Arial"/>
          <w:sz w:val="16"/>
        </w:rPr>
        <w:t>QIAamp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Viral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RNA Mini </w:t>
      </w:r>
      <w:proofErr w:type="spellStart"/>
      <w:r w:rsidRPr="004117BC">
        <w:rPr>
          <w:rStyle w:val="FontStyle32"/>
          <w:rFonts w:ascii="Arial" w:hAnsi="Arial"/>
          <w:sz w:val="16"/>
        </w:rPr>
        <w:t>Kit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(</w:t>
      </w:r>
      <w:proofErr w:type="spellStart"/>
      <w:r w:rsidRPr="004117BC">
        <w:rPr>
          <w:rStyle w:val="FontStyle32"/>
          <w:rFonts w:ascii="Arial" w:hAnsi="Arial"/>
          <w:sz w:val="16"/>
        </w:rPr>
        <w:t>Qiagen</w:t>
      </w:r>
      <w:proofErr w:type="spellEnd"/>
      <w:r w:rsidRPr="004117BC">
        <w:rPr>
          <w:rStyle w:val="FontStyle32"/>
          <w:rFonts w:ascii="Arial" w:hAnsi="Arial"/>
          <w:sz w:val="16"/>
        </w:rPr>
        <w:t>)</w:t>
      </w:r>
    </w:p>
    <w:p w14:paraId="1A735818" w14:textId="77777777" w:rsidR="00954F93" w:rsidRPr="004117BC" w:rsidRDefault="00106E14" w:rsidP="003E1E4F">
      <w:pPr>
        <w:pStyle w:val="Style3"/>
        <w:widowControl/>
        <w:spacing w:before="91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Pokud není test proveden okamžitě po extrakci RNA, uchovávejte čištěnou RNA při teplotě &lt; -15 °C. Jako vzorek by měla být zahrnuta také negativní kontrola pro extrakci ("</w:t>
      </w:r>
      <w:proofErr w:type="spellStart"/>
      <w:r w:rsidRPr="004117BC">
        <w:rPr>
          <w:rStyle w:val="FontStyle32"/>
          <w:rFonts w:ascii="Arial" w:hAnsi="Arial"/>
          <w:sz w:val="16"/>
        </w:rPr>
        <w:t>mock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sample").</w:t>
      </w:r>
    </w:p>
    <w:p w14:paraId="56075CD8" w14:textId="77777777" w:rsidR="00954F93" w:rsidRPr="004117BC" w:rsidRDefault="00954F93" w:rsidP="003E1E4F">
      <w:pPr>
        <w:pStyle w:val="Style3"/>
        <w:widowControl/>
        <w:spacing w:before="91" w:line="240" w:lineRule="auto"/>
        <w:rPr>
          <w:rStyle w:val="FontStyle32"/>
          <w:rFonts w:ascii="Arial" w:hAnsi="Arial" w:cs="Arial"/>
          <w:sz w:val="16"/>
        </w:rPr>
        <w:sectPr w:rsidR="00954F93" w:rsidRPr="004117BC" w:rsidSect="009E353A">
          <w:pgSz w:w="11907" w:h="16839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2"/>
        <w:gridCol w:w="2153"/>
        <w:gridCol w:w="1731"/>
        <w:gridCol w:w="1625"/>
        <w:gridCol w:w="1526"/>
        <w:gridCol w:w="1559"/>
      </w:tblGrid>
      <w:tr w:rsidR="00954F93" w:rsidRPr="004117BC" w14:paraId="1CADA1A9" w14:textId="77777777" w:rsidTr="001131BB">
        <w:trPr>
          <w:trHeight w:val="332"/>
        </w:trPr>
        <w:tc>
          <w:tcPr>
            <w:tcW w:w="59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81B949" w14:textId="77777777" w:rsidR="00954F93" w:rsidRPr="004117BC" w:rsidRDefault="00106E14" w:rsidP="003E1E4F">
            <w:pPr>
              <w:pStyle w:val="Style12"/>
              <w:widowControl/>
              <w:rPr>
                <w:rStyle w:val="FontStyle23"/>
                <w:rFonts w:ascii="Arial" w:hAnsi="Arial" w:cs="Arial"/>
                <w:sz w:val="20"/>
              </w:rPr>
            </w:pPr>
            <w:r w:rsidRPr="004117BC">
              <w:rPr>
                <w:rStyle w:val="FontStyle23"/>
                <w:rFonts w:ascii="Arial" w:hAnsi="Arial"/>
                <w:sz w:val="20"/>
              </w:rPr>
              <w:lastRenderedPageBreak/>
              <w:t>Postup testu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AE182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E1B36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545151A6" w14:textId="77777777" w:rsidTr="001131BB">
        <w:trPr>
          <w:trHeight w:val="394"/>
        </w:trPr>
        <w:tc>
          <w:tcPr>
            <w:tcW w:w="4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1F9F72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1</w:t>
            </w: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434A417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Příprava směsi PCR Mix.</w:t>
            </w:r>
          </w:p>
        </w:tc>
        <w:tc>
          <w:tcPr>
            <w:tcW w:w="644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87F1B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00804A23" w14:textId="77777777" w:rsidTr="001131BB">
        <w:trPr>
          <w:trHeight w:val="1379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EB6286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3965EA" w14:textId="77777777" w:rsidR="001131BB" w:rsidRPr="004117BC" w:rsidRDefault="00B56771" w:rsidP="003E1E4F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pos="349"/>
              </w:tabs>
              <w:ind w:left="207" w:hanging="207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Rozmrazen</w:t>
            </w:r>
            <w:r w:rsidR="00F3627D" w:rsidRPr="004117BC">
              <w:rPr>
                <w:rStyle w:val="FontStyle30"/>
                <w:rFonts w:ascii="Arial" w:hAnsi="Arial"/>
                <w:sz w:val="16"/>
              </w:rPr>
              <w:t>ou</w:t>
            </w:r>
            <w:r w:rsidR="00106E14" w:rsidRPr="004117BC">
              <w:rPr>
                <w:rStyle w:val="FontStyle30"/>
                <w:rFonts w:ascii="Arial" w:hAnsi="Arial"/>
                <w:sz w:val="16"/>
              </w:rPr>
              <w:t xml:space="preserve"> směs RNA </w:t>
            </w:r>
            <w:proofErr w:type="spellStart"/>
            <w:r w:rsidR="00106E14" w:rsidRPr="004117BC">
              <w:rPr>
                <w:rStyle w:val="FontStyle30"/>
                <w:rFonts w:ascii="Arial" w:hAnsi="Arial"/>
                <w:sz w:val="16"/>
              </w:rPr>
              <w:t>MMx</w:t>
            </w:r>
            <w:proofErr w:type="spellEnd"/>
            <w:r w:rsidR="00106E14" w:rsidRPr="004117BC">
              <w:rPr>
                <w:rStyle w:val="FontStyle30"/>
                <w:rFonts w:ascii="Arial" w:hAnsi="Arial"/>
                <w:sz w:val="16"/>
              </w:rPr>
              <w:t xml:space="preserve"> promíchejte převrácením nebo jemným </w:t>
            </w:r>
            <w:proofErr w:type="spellStart"/>
            <w:r w:rsidR="00106E14" w:rsidRPr="004117BC">
              <w:rPr>
                <w:rStyle w:val="FontStyle30"/>
                <w:rFonts w:ascii="Arial" w:hAnsi="Arial"/>
                <w:sz w:val="16"/>
              </w:rPr>
              <w:t>vortexováním</w:t>
            </w:r>
            <w:proofErr w:type="spellEnd"/>
            <w:r w:rsidR="00106E14" w:rsidRPr="004117BC">
              <w:rPr>
                <w:rStyle w:val="FontStyle30"/>
                <w:rFonts w:ascii="Arial" w:hAnsi="Arial"/>
                <w:sz w:val="16"/>
              </w:rPr>
              <w:t xml:space="preserve"> zkumavky.</w:t>
            </w:r>
          </w:p>
          <w:p w14:paraId="5E07A210" w14:textId="77777777" w:rsidR="00954F93" w:rsidRPr="004117BC" w:rsidRDefault="00106E14" w:rsidP="003E1E4F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pos="349"/>
              </w:tabs>
              <w:ind w:left="207" w:hanging="207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RNA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je viskózní roztok, který je nutné pipetovat pomalu.</w:t>
            </w:r>
          </w:p>
          <w:p w14:paraId="65E13AC5" w14:textId="031A66F2" w:rsidR="00954F93" w:rsidRPr="004117BC" w:rsidRDefault="00106E14" w:rsidP="003E1E4F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pos="349"/>
              </w:tabs>
              <w:ind w:left="207" w:hanging="207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Směs PCR Mix připravíte aplikací 10 µl směsi CSFV RNA Mix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10 µl RNA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na každou reakci.</w:t>
            </w:r>
          </w:p>
          <w:p w14:paraId="0C98742E" w14:textId="26EBFBE0" w:rsidR="00954F93" w:rsidRPr="004117BC" w:rsidRDefault="00106E14" w:rsidP="003E1E4F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pos="349"/>
              </w:tabs>
              <w:ind w:left="207" w:hanging="207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Při přípravě směsi PCR Mix nejprve pipetujte směs CSFV RNA Mix do zkumavky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poté přidejte směs RNA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>.</w:t>
            </w:r>
            <w:r w:rsidRPr="004117BC">
              <w:rPr>
                <w:rStyle w:val="FontStyle30"/>
                <w:rFonts w:ascii="Arial" w:hAnsi="Arial"/>
                <w:b/>
                <w:sz w:val="16"/>
              </w:rPr>
              <w:t xml:space="preserve"> 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Propláchněte hrot pipety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s 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MMx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tak, že roztok několikrát nasajete do pipety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>opět vypustíte.</w:t>
            </w:r>
          </w:p>
          <w:p w14:paraId="4FADCFAB" w14:textId="77777777" w:rsidR="00954F93" w:rsidRPr="004117BC" w:rsidRDefault="00106E14" w:rsidP="003E1E4F">
            <w:pPr>
              <w:pStyle w:val="Style18"/>
              <w:widowControl/>
              <w:numPr>
                <w:ilvl w:val="0"/>
                <w:numId w:val="1"/>
              </w:numPr>
              <w:tabs>
                <w:tab w:val="left" w:pos="349"/>
              </w:tabs>
              <w:ind w:left="207" w:hanging="207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Důkladné promíchání jednotlivých složek zajistíte mírným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vortexováním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roztoku.</w:t>
            </w:r>
          </w:p>
          <w:p w14:paraId="5A04AD7C" w14:textId="77777777" w:rsidR="00954F93" w:rsidRPr="004117BC" w:rsidRDefault="00106E14" w:rsidP="003E1E4F">
            <w:pPr>
              <w:pStyle w:val="Style18"/>
              <w:widowControl/>
              <w:numPr>
                <w:ilvl w:val="0"/>
                <w:numId w:val="2"/>
              </w:numPr>
              <w:tabs>
                <w:tab w:val="left" w:pos="349"/>
              </w:tabs>
              <w:ind w:left="207" w:hanging="207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Směs PCR Mix pomalu pipetujte na PCR destičku.</w:t>
            </w:r>
          </w:p>
        </w:tc>
      </w:tr>
      <w:tr w:rsidR="00954F93" w:rsidRPr="004117BC" w14:paraId="57E26C94" w14:textId="77777777" w:rsidTr="001131BB">
        <w:trPr>
          <w:trHeight w:val="394"/>
        </w:trPr>
        <w:tc>
          <w:tcPr>
            <w:tcW w:w="4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A8DD42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5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3CFDD3" w14:textId="77777777" w:rsidR="00954F93" w:rsidRPr="004117BC" w:rsidRDefault="00106E14" w:rsidP="00D14704">
            <w:pPr>
              <w:pStyle w:val="Style17"/>
              <w:widowControl/>
              <w:spacing w:line="240" w:lineRule="auto"/>
              <w:ind w:right="250"/>
              <w:jc w:val="left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Směs PCR Mix aplikujte na PCR destičku do 20 minut, anebo ji můžete uchovávat při teplotě 2 až 8 °C po dobu 4 hodin. Směs je možné uchovávat po dobu až 2 týdnů při teplotě -25 až -15 °C. Chraňte před světlem.</w:t>
            </w:r>
          </w:p>
        </w:tc>
      </w:tr>
      <w:tr w:rsidR="00954F93" w:rsidRPr="004117BC" w14:paraId="03025AF7" w14:textId="77777777" w:rsidTr="001131BB">
        <w:trPr>
          <w:trHeight w:val="197"/>
        </w:trPr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6C5D62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2</w:t>
            </w: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47367D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Pipetou aplikujte 20 µl směsi PCR Mix do příslušných jamek destičky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s </w:t>
            </w:r>
            <w:r w:rsidRPr="004117BC">
              <w:rPr>
                <w:rStyle w:val="FontStyle30"/>
                <w:rFonts w:ascii="Arial" w:hAnsi="Arial"/>
                <w:sz w:val="16"/>
              </w:rPr>
              <w:t>více jamkami.</w:t>
            </w:r>
          </w:p>
        </w:tc>
      </w:tr>
      <w:tr w:rsidR="00954F93" w:rsidRPr="004117BC" w14:paraId="1D46C834" w14:textId="77777777" w:rsidTr="001131BB">
        <w:trPr>
          <w:trHeight w:val="197"/>
        </w:trPr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686B75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3</w:t>
            </w: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EF240D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27"/>
                <w:rFonts w:ascii="Arial" w:hAnsi="Arial" w:cs="Arial"/>
                <w:smallCaps w:val="0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Do každé jamky pipetujte 5 µl vzorku RNA. Konečný objem pro reakci je 25 µl.</w:t>
            </w:r>
          </w:p>
        </w:tc>
      </w:tr>
      <w:tr w:rsidR="00954F93" w:rsidRPr="004117BC" w14:paraId="2C2D8FC3" w14:textId="77777777" w:rsidTr="001131BB">
        <w:trPr>
          <w:trHeight w:val="382"/>
        </w:trPr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F7B340B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4</w:t>
            </w: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884E37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Pro každou testovací várku přidejte pozitivní kontrolu (5 µl)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PCR negativní kontrolu (5 µl vody PCR Grade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Water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>).</w:t>
            </w:r>
          </w:p>
        </w:tc>
      </w:tr>
      <w:tr w:rsidR="00954F93" w:rsidRPr="004117BC" w14:paraId="62FC5CB4" w14:textId="77777777" w:rsidTr="001131BB">
        <w:trPr>
          <w:trHeight w:val="197"/>
        </w:trPr>
        <w:tc>
          <w:tcPr>
            <w:tcW w:w="4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F10860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5</w:t>
            </w: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DB313A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Destičku uzavřete </w:t>
            </w:r>
            <w:r w:rsidR="00F3627D" w:rsidRPr="004117BC">
              <w:rPr>
                <w:rStyle w:val="FontStyle30"/>
                <w:rFonts w:ascii="Arial" w:hAnsi="Arial"/>
                <w:sz w:val="16"/>
              </w:rPr>
              <w:t>krytem, a pokud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 je třeba, jemně ji odstřeďte, aby se obsah jamek usadil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>odstranily se vzduchové bublinky.</w:t>
            </w:r>
          </w:p>
        </w:tc>
      </w:tr>
      <w:tr w:rsidR="00954F93" w:rsidRPr="004117BC" w14:paraId="1DE80821" w14:textId="77777777" w:rsidTr="001131BB">
        <w:trPr>
          <w:trHeight w:val="197"/>
        </w:trPr>
        <w:tc>
          <w:tcPr>
            <w:tcW w:w="4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7D4F0B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6</w:t>
            </w:r>
          </w:p>
        </w:tc>
        <w:tc>
          <w:tcPr>
            <w:tcW w:w="859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4E10D2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Pomocí programu IDEXX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Standard DNA/RNA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Cycling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Program nastavte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termocykler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>.</w:t>
            </w:r>
          </w:p>
        </w:tc>
      </w:tr>
      <w:tr w:rsidR="00954F93" w:rsidRPr="004117BC" w14:paraId="77251904" w14:textId="77777777" w:rsidTr="001131BB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98CAA8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550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4772DB9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Nastavení reportéru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zhášeče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B21F7E2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2F859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6C14D95A" w14:textId="77777777" w:rsidTr="001131BB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653DB7D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C3C4F3" w14:textId="77777777" w:rsidR="00954F93" w:rsidRPr="004117BC" w:rsidRDefault="00106E14" w:rsidP="003E1E4F">
            <w:pPr>
              <w:pStyle w:val="Style15"/>
              <w:widowControl/>
              <w:spacing w:line="240" w:lineRule="auto"/>
              <w:ind w:left="485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Cíl</w:t>
            </w: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675712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Reportér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4784419A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Zhášeč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D598B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50BAA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462C70A3" w14:textId="77777777" w:rsidTr="003E1E4F">
        <w:trPr>
          <w:trHeight w:val="39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76E33F3D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FDF695" w14:textId="77777777" w:rsidR="00954F93" w:rsidRPr="004117BC" w:rsidRDefault="00106E14" w:rsidP="003E1E4F">
            <w:pPr>
              <w:pStyle w:val="Style15"/>
              <w:widowControl/>
              <w:spacing w:line="240" w:lineRule="auto"/>
              <w:ind w:left="509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CSFV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E96980" w14:textId="0FE3479D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FAM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813642" w14:textId="0EB6FBB0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  <w:vertAlign w:val="superscript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BHQ</w:t>
            </w:r>
          </w:p>
          <w:p w14:paraId="680B44E3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(není)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135E9A2D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4D5E6E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647742E1" w14:textId="77777777" w:rsidTr="001131BB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1E9EC6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761F781E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050206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0CF7822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0E490C9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375422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79ED3474" w14:textId="77777777" w:rsidTr="004117BC">
        <w:trPr>
          <w:trHeight w:val="39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E4DAFD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5FBFD9" w14:textId="77777777" w:rsidR="00954F93" w:rsidRPr="004117BC" w:rsidRDefault="00106E14" w:rsidP="003E1E4F">
            <w:pPr>
              <w:pStyle w:val="Style17"/>
              <w:widowControl/>
              <w:spacing w:line="240" w:lineRule="auto"/>
              <w:ind w:left="221"/>
              <w:jc w:val="left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Interní kontrola (ISC/IPC)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4F9B29" w14:textId="29E5FEC6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HEX (VIC)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0037A2" w14:textId="77777777" w:rsidR="00954F93" w:rsidRPr="004117BC" w:rsidRDefault="00106E14" w:rsidP="003E1E4F">
            <w:pPr>
              <w:pStyle w:val="Style17"/>
              <w:widowControl/>
              <w:spacing w:line="240" w:lineRule="auto"/>
              <w:ind w:left="288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BHQ (není)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562FD1E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955BBD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40011022" w14:textId="77777777" w:rsidTr="001131BB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1C023B5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1CAAE2A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62C5F20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EE34D83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121794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37493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712B3D11" w14:textId="77777777" w:rsidTr="003E1E4F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3D4CEE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134D7D" w14:textId="7F022518" w:rsidR="00954F93" w:rsidRPr="004117BC" w:rsidRDefault="004117BC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>
              <w:rPr>
                <w:rStyle w:val="FontStyle30"/>
                <w:rFonts w:ascii="Arial" w:hAnsi="Arial"/>
                <w:sz w:val="16"/>
              </w:rPr>
              <w:t xml:space="preserve">   </w:t>
            </w:r>
            <w:r w:rsidR="00106E14" w:rsidRPr="004117BC">
              <w:rPr>
                <w:rStyle w:val="FontStyle30"/>
                <w:rFonts w:ascii="Arial" w:hAnsi="Arial"/>
                <w:sz w:val="16"/>
              </w:rPr>
              <w:t>Pasivní reference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9083C1" w14:textId="65FBFA1C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ROX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1B9107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nerelevantní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897949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2BE63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26EB8D3C" w14:textId="77777777" w:rsidTr="001131BB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2D2AFC3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59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D859D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Program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RealPCR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* Standard DNA/RNA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Cycling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Program</w:t>
            </w:r>
          </w:p>
        </w:tc>
      </w:tr>
      <w:tr w:rsidR="00954F93" w:rsidRPr="004117BC" w14:paraId="36389562" w14:textId="77777777" w:rsidTr="001131BB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5960F4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D5513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9981D3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Teplota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3E164322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Čas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71A5421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Cykly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1A5B9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57A486D4" w14:textId="77777777" w:rsidTr="003E1E4F">
        <w:trPr>
          <w:trHeight w:val="39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3C7AF2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979A94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Reverzní transkripce (RT)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11DBB5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50 °C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269494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15 min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1EEC32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5832E0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733AB2C1" w14:textId="77777777" w:rsidTr="001131BB">
        <w:trPr>
          <w:trHeight w:val="34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DD5497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5A70E50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80FF6BE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779BAC0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3FE4EE2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252CF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71F19B2A" w14:textId="77777777" w:rsidTr="003E1E4F">
        <w:trPr>
          <w:trHeight w:val="33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DE88AC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20C717" w14:textId="77777777" w:rsidR="00954F93" w:rsidRPr="004117BC" w:rsidRDefault="00106E14" w:rsidP="003E1E4F">
            <w:pPr>
              <w:pStyle w:val="Style15"/>
              <w:widowControl/>
              <w:spacing w:line="240" w:lineRule="auto"/>
              <w:ind w:left="302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Denaturace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828C2D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95 °C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489DDA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1 min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DC5F48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4011A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08859E6B" w14:textId="77777777" w:rsidTr="001131BB">
        <w:trPr>
          <w:trHeight w:val="34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5CDA8B40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471CECC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3BB4F9B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28DCD6B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B271B21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488E3D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7BAF512F" w14:textId="77777777" w:rsidTr="003E1E4F">
        <w:trPr>
          <w:trHeight w:val="406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91B23B3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1353FAC" w14:textId="77777777" w:rsidR="00954F93" w:rsidRPr="004117BC" w:rsidRDefault="00106E14" w:rsidP="003E1E4F">
            <w:pPr>
              <w:pStyle w:val="Style15"/>
              <w:widowControl/>
              <w:spacing w:line="240" w:lineRule="auto"/>
              <w:ind w:left="269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Amplifikace**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2D8ABC9" w14:textId="77777777" w:rsidR="003E1E4F" w:rsidRPr="004117BC" w:rsidRDefault="00106E14" w:rsidP="003E1E4F">
            <w:pPr>
              <w:pStyle w:val="Style13"/>
              <w:widowControl/>
              <w:spacing w:line="240" w:lineRule="auto"/>
              <w:ind w:left="370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95 °C </w:t>
            </w:r>
          </w:p>
          <w:p w14:paraId="6D431310" w14:textId="77777777" w:rsidR="003E1E4F" w:rsidRPr="004117BC" w:rsidRDefault="003E1E4F" w:rsidP="003E1E4F">
            <w:pPr>
              <w:pStyle w:val="Style13"/>
              <w:widowControl/>
              <w:spacing w:line="240" w:lineRule="auto"/>
              <w:ind w:left="370"/>
              <w:rPr>
                <w:rStyle w:val="FontStyle30"/>
                <w:rFonts w:ascii="Arial" w:hAnsi="Arial" w:cs="Arial"/>
                <w:sz w:val="16"/>
              </w:rPr>
            </w:pPr>
          </w:p>
          <w:p w14:paraId="413F2CDF" w14:textId="77777777" w:rsidR="00954F93" w:rsidRPr="004117BC" w:rsidRDefault="00106E14" w:rsidP="003E1E4F">
            <w:pPr>
              <w:pStyle w:val="Style13"/>
              <w:widowControl/>
              <w:spacing w:line="240" w:lineRule="auto"/>
              <w:ind w:left="370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60 °C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A93BC2" w14:textId="77777777" w:rsidR="003E1E4F" w:rsidRPr="004117BC" w:rsidRDefault="00106E14" w:rsidP="003E1E4F">
            <w:pPr>
              <w:pStyle w:val="Style13"/>
              <w:widowControl/>
              <w:spacing w:line="240" w:lineRule="auto"/>
              <w:ind w:left="259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15 s</w:t>
            </w:r>
          </w:p>
          <w:p w14:paraId="0A6645AA" w14:textId="77777777" w:rsidR="003E1E4F" w:rsidRPr="004117BC" w:rsidRDefault="003E1E4F" w:rsidP="003E1E4F">
            <w:pPr>
              <w:pStyle w:val="Style13"/>
              <w:widowControl/>
              <w:spacing w:line="240" w:lineRule="auto"/>
              <w:ind w:left="259"/>
              <w:rPr>
                <w:rStyle w:val="FontStyle30"/>
                <w:rFonts w:ascii="Arial" w:hAnsi="Arial" w:cs="Arial"/>
                <w:sz w:val="16"/>
              </w:rPr>
            </w:pPr>
          </w:p>
          <w:p w14:paraId="108B497A" w14:textId="77777777" w:rsidR="00954F93" w:rsidRPr="004117BC" w:rsidRDefault="00106E14" w:rsidP="003E1E4F">
            <w:pPr>
              <w:pStyle w:val="Style13"/>
              <w:widowControl/>
              <w:spacing w:line="240" w:lineRule="auto"/>
              <w:ind w:left="259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30 s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A8E8212" w14:textId="77777777" w:rsidR="00954F93" w:rsidRPr="004117BC" w:rsidRDefault="00106E14" w:rsidP="003E1E4F">
            <w:pPr>
              <w:pStyle w:val="Style15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20C19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2F545325" w14:textId="77777777" w:rsidTr="001131BB">
        <w:trPr>
          <w:trHeight w:val="34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0FCA730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5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ABD697" w14:textId="77777777" w:rsidR="00954F93" w:rsidRPr="004117BC" w:rsidRDefault="00106E14" w:rsidP="003E1E4F">
            <w:pPr>
              <w:pStyle w:val="Style15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**Nastavte přístroj tak, aby zaznamenával fluorescenci až po amplifikaci při 60 °C.</w:t>
            </w:r>
          </w:p>
        </w:tc>
      </w:tr>
    </w:tbl>
    <w:p w14:paraId="510688AF" w14:textId="77777777" w:rsidR="00954F93" w:rsidRPr="004117BC" w:rsidRDefault="00954F93" w:rsidP="003E1E4F">
      <w:pPr>
        <w:widowControl/>
        <w:rPr>
          <w:rStyle w:val="FontStyle30"/>
          <w:rFonts w:ascii="Arial" w:hAnsi="Arial" w:cs="Arial"/>
          <w:sz w:val="16"/>
        </w:rPr>
        <w:sectPr w:rsidR="00954F93" w:rsidRPr="004117BC" w:rsidSect="009E353A">
          <w:pgSz w:w="11907" w:h="16839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"/>
        <w:gridCol w:w="1903"/>
        <w:gridCol w:w="1203"/>
        <w:gridCol w:w="1527"/>
        <w:gridCol w:w="4098"/>
      </w:tblGrid>
      <w:tr w:rsidR="00954F93" w:rsidRPr="004117BC" w14:paraId="5366304C" w14:textId="77777777" w:rsidTr="003E1E4F">
        <w:trPr>
          <w:trHeight w:val="370"/>
        </w:trPr>
        <w:tc>
          <w:tcPr>
            <w:tcW w:w="2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B67E0A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lastRenderedPageBreak/>
              <w:t>7</w:t>
            </w: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DFEA8" w14:textId="77777777" w:rsidR="00954F93" w:rsidRPr="004117BC" w:rsidRDefault="00106E14" w:rsidP="003E1E4F">
            <w:pPr>
              <w:pStyle w:val="Style19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Analýza dat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EF2F46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F582C6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40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A6A073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09AD4700" w14:textId="77777777" w:rsidTr="003E1E4F">
        <w:trPr>
          <w:trHeight w:val="285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257A941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73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04EDB1" w14:textId="77777777" w:rsidR="00954F93" w:rsidRPr="004117BC" w:rsidRDefault="00106E14" w:rsidP="003E1E4F">
            <w:pPr>
              <w:pStyle w:val="Style19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Při nastavování softwaru přístroje zadejte každému cíli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interní kontrole unikátní identifikátor. Příklad: Pokud jsou cíle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proofErr w:type="spellStart"/>
            <w:r w:rsidR="00672BE3" w:rsidRPr="004117BC">
              <w:rPr>
                <w:rStyle w:val="FontStyle30"/>
                <w:rFonts w:ascii="Arial" w:hAnsi="Arial"/>
                <w:sz w:val="16"/>
              </w:rPr>
              <w:t>a</w:t>
            </w:r>
            <w:proofErr w:type="spellEnd"/>
            <w:r w:rsidR="00672BE3" w:rsidRPr="004117BC">
              <w:rPr>
                <w:rStyle w:val="FontStyle30"/>
                <w:rFonts w:ascii="Arial" w:hAnsi="Arial"/>
                <w:sz w:val="16"/>
              </w:rPr>
              <w:t>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B na téže destičce, jamky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musí být analyzovány nezávisle na jamkách B. Způsob analýzy dat je uveden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konkrétním návodu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k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použití daného přístroje. Pro nastavení prahu použijte funkci Auto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Ct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>.</w:t>
            </w:r>
          </w:p>
          <w:p w14:paraId="001F794B" w14:textId="77777777" w:rsidR="003E1E4F" w:rsidRPr="004117BC" w:rsidRDefault="003E1E4F" w:rsidP="003E1E4F">
            <w:pPr>
              <w:pStyle w:val="Style19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</w:p>
          <w:p w14:paraId="527CEB7E" w14:textId="77777777" w:rsidR="00954F93" w:rsidRPr="004117BC" w:rsidRDefault="00106E14" w:rsidP="00D14704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149"/>
              <w:rPr>
                <w:rStyle w:val="FontStyle30"/>
                <w:rFonts w:ascii="Arial" w:hAnsi="Arial" w:cs="Arial"/>
                <w:sz w:val="16"/>
              </w:rPr>
            </w:pP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Agilent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Mx3000P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Mx3005P – pro analýzu je nutné používat metodu fluorescence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s </w:t>
            </w:r>
            <w:r w:rsidRPr="004117BC">
              <w:rPr>
                <w:rStyle w:val="FontStyle30"/>
                <w:rFonts w:ascii="Arial" w:hAnsi="Arial"/>
                <w:sz w:val="16"/>
              </w:rPr>
              <w:t>prahovou hodnotou založenou na pozadí (background-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based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threshold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fluorescence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method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>).</w:t>
            </w:r>
          </w:p>
          <w:p w14:paraId="1D6311ED" w14:textId="77777777" w:rsidR="00954F93" w:rsidRPr="004117BC" w:rsidRDefault="00106E14" w:rsidP="00D14704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149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Přístroj QIAGEN Rotor-Gene – ručně nastavte prahovou přímku nad pozadí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lineární fázi exponenciální amplifikace. To lze nejsnáze provést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"log" zobrazení grafů. Tento krok je třeba opakovat pro každý reportér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>cílové směsi.</w:t>
            </w:r>
          </w:p>
          <w:p w14:paraId="7CB36817" w14:textId="77AA2E0C" w:rsidR="00954F93" w:rsidRPr="004117BC" w:rsidRDefault="00106E14" w:rsidP="00D14704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288"/>
              </w:tabs>
              <w:spacing w:line="240" w:lineRule="auto"/>
              <w:ind w:left="149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Přístroje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Applied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Biosystems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– automatické nastavení prahů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některých situacích nepřináší uspokojivé výsledky.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takových případech je nutné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Ct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hodnoty určit ručním nastavením prahu. To lze nejsnáze provést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"log" zobrazení grafů. Tento krok je třeba opakovat pro každý reportér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>cílové směsi.</w:t>
            </w:r>
          </w:p>
        </w:tc>
      </w:tr>
      <w:tr w:rsidR="00954F93" w:rsidRPr="004117BC" w14:paraId="5577CCC1" w14:textId="77777777" w:rsidTr="003E1E4F">
        <w:trPr>
          <w:trHeight w:val="3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57897C3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506FA3DF" w14:textId="77777777" w:rsidR="00954F93" w:rsidRPr="004117BC" w:rsidRDefault="00106E14" w:rsidP="003E1E4F">
            <w:pPr>
              <w:pStyle w:val="Style19"/>
              <w:widowControl/>
              <w:spacing w:line="240" w:lineRule="auto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Kritéria validity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5EE83F1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A489DE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1EDE693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62918BC3" w14:textId="77777777" w:rsidTr="003E1E4F">
        <w:trPr>
          <w:trHeight w:val="441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FF6FD86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7168EFB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1C1515D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Hodnota FAM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Ct</w:t>
            </w:r>
            <w:proofErr w:type="spellEnd"/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505B4FCD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Hodnota HEX (VIC)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Ct</w:t>
            </w:r>
            <w:proofErr w:type="spellEnd"/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5A113E5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450CBB1F" w14:textId="77777777" w:rsidTr="003E1E4F">
        <w:trPr>
          <w:trHeight w:val="3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04AB90D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E0F34E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Pozitivní kontrola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E2D7B3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&lt;38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7991C6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&lt;38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0BD9FEB2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5072AD02" w14:textId="77777777" w:rsidTr="003E1E4F">
        <w:trPr>
          <w:trHeight w:val="3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1473608B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294B6487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C5C531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0CEBFD6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54656223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0FE04CB0" w14:textId="77777777" w:rsidTr="003E1E4F">
        <w:trPr>
          <w:trHeight w:val="441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5A640CD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4CF875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PCR negativní kontrola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E4795E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Není signál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10F552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Není signál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0FA0336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69F0EF9D" w14:textId="77777777" w:rsidTr="003E1E4F">
        <w:trPr>
          <w:trHeight w:val="382"/>
        </w:trPr>
        <w:tc>
          <w:tcPr>
            <w:tcW w:w="2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EAA8B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5872B2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34B8D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A3969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D64A6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544A66BE" w14:textId="77777777" w:rsidTr="003E1E4F">
        <w:trPr>
          <w:trHeight w:val="429"/>
        </w:trPr>
        <w:tc>
          <w:tcPr>
            <w:tcW w:w="2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253B97" w14:textId="77777777" w:rsidR="00954F93" w:rsidRPr="004117BC" w:rsidRDefault="00106E14" w:rsidP="003E1E4F">
            <w:pPr>
              <w:pStyle w:val="Style16"/>
              <w:widowControl/>
              <w:rPr>
                <w:rStyle w:val="FontStyle28"/>
                <w:rFonts w:ascii="Arial" w:hAnsi="Arial" w:cs="Arial"/>
                <w:sz w:val="16"/>
              </w:rPr>
            </w:pPr>
            <w:r w:rsidRPr="004117BC">
              <w:rPr>
                <w:rStyle w:val="FontStyle28"/>
                <w:rFonts w:ascii="Arial" w:hAnsi="Arial"/>
                <w:sz w:val="16"/>
              </w:rPr>
              <w:t>8</w:t>
            </w:r>
          </w:p>
        </w:tc>
        <w:tc>
          <w:tcPr>
            <w:tcW w:w="19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6BFCBA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Interpretace výsledků</w:t>
            </w:r>
          </w:p>
        </w:tc>
        <w:tc>
          <w:tcPr>
            <w:tcW w:w="120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CB427D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C283D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40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8496F95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4A5C6A67" w14:textId="77777777" w:rsidTr="003E1E4F">
        <w:trPr>
          <w:trHeight w:val="441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554690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524E21DC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Výsledek testu vzorku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A75D97A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Signál FAM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14:paraId="3624EE05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Signál HEX (VIC)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14:paraId="41CC0158" w14:textId="77777777" w:rsidR="00954F93" w:rsidRPr="004117BC" w:rsidRDefault="00106E14" w:rsidP="003E1E4F">
            <w:pPr>
              <w:pStyle w:val="Style19"/>
              <w:widowControl/>
              <w:spacing w:line="240" w:lineRule="auto"/>
              <w:ind w:left="922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Další charakteristiky</w:t>
            </w:r>
          </w:p>
        </w:tc>
      </w:tr>
      <w:tr w:rsidR="00D14704" w:rsidRPr="004117BC" w14:paraId="30A2C692" w14:textId="77777777" w:rsidTr="00D14704">
        <w:trPr>
          <w:trHeight w:val="65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566ADEAA" w14:textId="77777777" w:rsidR="00D14704" w:rsidRPr="004117BC" w:rsidRDefault="00D14704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ECF327" w14:textId="77777777" w:rsidR="00D14704" w:rsidRPr="004117BC" w:rsidRDefault="00D14704" w:rsidP="00D14704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CSFV RNA</w:t>
            </w:r>
          </w:p>
          <w:p w14:paraId="0938FF61" w14:textId="77777777" w:rsidR="00D14704" w:rsidRPr="004117BC" w:rsidRDefault="00D14704" w:rsidP="00D1470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detekováno</w:t>
            </w:r>
          </w:p>
        </w:tc>
        <w:tc>
          <w:tcPr>
            <w:tcW w:w="1203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A9E867" w14:textId="77777777" w:rsidR="00D14704" w:rsidRPr="004117BC" w:rsidRDefault="00D14704" w:rsidP="00D1470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Ano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345B227" w14:textId="77777777" w:rsidR="00D14704" w:rsidRPr="004117BC" w:rsidRDefault="00D14704" w:rsidP="00D14704">
            <w:pPr>
              <w:pStyle w:val="Style19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Ano/Ne</w:t>
            </w:r>
          </w:p>
        </w:tc>
        <w:tc>
          <w:tcPr>
            <w:tcW w:w="4098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D049DF" w14:textId="77777777" w:rsidR="00D14704" w:rsidRPr="004117BC" w:rsidRDefault="00D14704" w:rsidP="00D14704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Pozitivní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Ct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 hodnota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charakteristická křivka amplifikace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porovnání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s </w:t>
            </w:r>
            <w:r w:rsidRPr="004117BC">
              <w:rPr>
                <w:rStyle w:val="FontStyle30"/>
                <w:rFonts w:ascii="Arial" w:hAnsi="Arial"/>
                <w:sz w:val="16"/>
              </w:rPr>
              <w:t>PCR negativní kontrolou.</w:t>
            </w:r>
          </w:p>
          <w:p w14:paraId="18AEE9B3" w14:textId="77777777" w:rsidR="00D14704" w:rsidRPr="004117BC" w:rsidRDefault="00D14704" w:rsidP="00D14704">
            <w:pPr>
              <w:pStyle w:val="Style19"/>
              <w:widowControl/>
              <w:spacing w:line="240" w:lineRule="auto"/>
              <w:ind w:left="5" w:hanging="5"/>
              <w:jc w:val="center"/>
              <w:rPr>
                <w:rStyle w:val="FontStyle30"/>
                <w:rFonts w:ascii="Arial" w:hAnsi="Arial" w:cs="Arial"/>
                <w:sz w:val="16"/>
              </w:rPr>
            </w:pPr>
          </w:p>
          <w:p w14:paraId="09482AE8" w14:textId="77777777" w:rsidR="00D14704" w:rsidRPr="004117BC" w:rsidRDefault="00D14704" w:rsidP="00D14704">
            <w:pPr>
              <w:pStyle w:val="Style19"/>
              <w:spacing w:line="240" w:lineRule="auto"/>
              <w:ind w:left="5" w:hanging="5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Očekává se amplifikační křivka interní kontroly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kanále HEX (VIC);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u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některých silně CSFV-pozitivních vzorků RNA může dojít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k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negativnímu výsledku interní </w:t>
            </w:r>
            <w:proofErr w:type="gramStart"/>
            <w:r w:rsidRPr="004117BC">
              <w:rPr>
                <w:rStyle w:val="FontStyle30"/>
                <w:rFonts w:ascii="Arial" w:hAnsi="Arial"/>
                <w:sz w:val="16"/>
              </w:rPr>
              <w:t>kontroly.</w:t>
            </w:r>
            <w:r w:rsidRPr="004117BC">
              <w:rPr>
                <w:rStyle w:val="FontStyle30"/>
                <w:rFonts w:ascii="Arial" w:hAnsi="Arial"/>
                <w:sz w:val="16"/>
                <w:vertAlign w:val="superscript"/>
              </w:rPr>
              <w:t>†</w:t>
            </w:r>
            <w:proofErr w:type="gramEnd"/>
          </w:p>
        </w:tc>
      </w:tr>
      <w:tr w:rsidR="00D14704" w:rsidRPr="004117BC" w14:paraId="734B269A" w14:textId="77777777" w:rsidTr="00434C48">
        <w:trPr>
          <w:trHeight w:val="87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FA8A308" w14:textId="77777777" w:rsidR="00D14704" w:rsidRPr="004117BC" w:rsidRDefault="00D14704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835B80" w14:textId="77777777" w:rsidR="00D14704" w:rsidRPr="004117BC" w:rsidRDefault="00D1470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</w:p>
        </w:tc>
        <w:tc>
          <w:tcPr>
            <w:tcW w:w="1203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59FF10" w14:textId="77777777" w:rsidR="00D14704" w:rsidRPr="004117BC" w:rsidRDefault="00D1470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</w:p>
        </w:tc>
        <w:tc>
          <w:tcPr>
            <w:tcW w:w="1527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9AE02F" w14:textId="77777777" w:rsidR="00D14704" w:rsidRPr="004117BC" w:rsidRDefault="00D1470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</w:p>
        </w:tc>
        <w:tc>
          <w:tcPr>
            <w:tcW w:w="4098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97169C" w14:textId="77777777" w:rsidR="00D14704" w:rsidRPr="004117BC" w:rsidRDefault="00D14704" w:rsidP="003E1E4F">
            <w:pPr>
              <w:pStyle w:val="Style19"/>
              <w:widowControl/>
              <w:spacing w:line="240" w:lineRule="auto"/>
              <w:ind w:left="5" w:hanging="5"/>
              <w:rPr>
                <w:rStyle w:val="FontStyle30"/>
                <w:rFonts w:ascii="Arial" w:hAnsi="Arial" w:cs="Arial"/>
                <w:sz w:val="16"/>
              </w:rPr>
            </w:pPr>
          </w:p>
        </w:tc>
      </w:tr>
      <w:tr w:rsidR="00954F93" w:rsidRPr="004117BC" w14:paraId="6F5D53EB" w14:textId="77777777" w:rsidTr="003E1E4F">
        <w:trPr>
          <w:trHeight w:val="3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514CA2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299CC6F0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E88AD91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7F5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59DF553F" w14:textId="77777777" w:rsidTr="003E1E4F">
        <w:trPr>
          <w:trHeight w:val="441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A694F5C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167953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CSFV RNA</w:t>
            </w:r>
          </w:p>
          <w:p w14:paraId="2A395D7D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nedetekováno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C4534F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BCE1CF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Ano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2F6916" w14:textId="77777777" w:rsidR="00954F93" w:rsidRPr="004117BC" w:rsidRDefault="00106E14" w:rsidP="003E1E4F">
            <w:pPr>
              <w:pStyle w:val="Style19"/>
              <w:widowControl/>
              <w:spacing w:line="240" w:lineRule="auto"/>
              <w:ind w:left="5" w:hanging="5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Amplifikační křivka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>kanále interní kontroly HEX (VIC).</w:t>
            </w:r>
          </w:p>
        </w:tc>
      </w:tr>
      <w:tr w:rsidR="00954F93" w:rsidRPr="004117BC" w14:paraId="5A96AAEE" w14:textId="77777777" w:rsidTr="003E1E4F">
        <w:trPr>
          <w:trHeight w:val="3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7D62D39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14:paraId="1E91CDA8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A8B79B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9AA4A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</w:tr>
      <w:tr w:rsidR="00954F93" w:rsidRPr="004117BC" w14:paraId="3B729C1F" w14:textId="77777777" w:rsidTr="003E1E4F">
        <w:trPr>
          <w:trHeight w:val="65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61284254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85707F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Neplatné</w:t>
            </w:r>
            <w:r w:rsidRPr="004117BC">
              <w:rPr>
                <w:rStyle w:val="FontStyle30"/>
                <w:rFonts w:ascii="Arial" w:hAnsi="Arial"/>
                <w:sz w:val="16"/>
                <w:vertAlign w:val="superscript"/>
              </w:rPr>
              <w:t>‡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39AC1F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18D285C" w14:textId="77777777" w:rsidR="00954F93" w:rsidRPr="004117BC" w:rsidRDefault="00106E14" w:rsidP="003E1E4F">
            <w:pPr>
              <w:pStyle w:val="Style19"/>
              <w:widowControl/>
              <w:spacing w:line="240" w:lineRule="auto"/>
              <w:jc w:val="center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>Ne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521814" w14:textId="77777777" w:rsidR="00954F93" w:rsidRPr="004117BC" w:rsidRDefault="00106E14" w:rsidP="003E1E4F">
            <w:pPr>
              <w:pStyle w:val="Style19"/>
              <w:widowControl/>
              <w:spacing w:line="240" w:lineRule="auto"/>
              <w:ind w:left="5" w:hanging="5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</w:rPr>
              <w:t xml:space="preserve">Absence amplifikační křivky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v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kanálech FAM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>HEX (VIC) poukazuje na neplatný výsledek.</w:t>
            </w:r>
          </w:p>
        </w:tc>
      </w:tr>
      <w:tr w:rsidR="00954F93" w:rsidRPr="004117BC" w14:paraId="1F670AB8" w14:textId="77777777" w:rsidTr="003E1E4F">
        <w:trPr>
          <w:trHeight w:val="441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36DC179F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2F7BE" w14:textId="77777777" w:rsidR="00954F93" w:rsidRPr="004117BC" w:rsidRDefault="00106E14" w:rsidP="00D14704">
            <w:pPr>
              <w:pStyle w:val="Style19"/>
              <w:widowControl/>
              <w:spacing w:line="240" w:lineRule="auto"/>
              <w:ind w:right="398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  <w:vertAlign w:val="superscript"/>
              </w:rPr>
              <w:t>†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 Cílová směs je optimalizována pro detekci MAP RNA; silně pozitivní vzorek RNA může vést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k </w:t>
            </w:r>
            <w:r w:rsidRPr="004117BC">
              <w:rPr>
                <w:rStyle w:val="FontStyle30"/>
                <w:rFonts w:ascii="Arial" w:hAnsi="Arial"/>
                <w:sz w:val="16"/>
              </w:rPr>
              <w:t>potlačení detekce interní kontroly.</w:t>
            </w:r>
          </w:p>
        </w:tc>
      </w:tr>
      <w:tr w:rsidR="00954F93" w:rsidRPr="004117BC" w14:paraId="34A70067" w14:textId="77777777" w:rsidTr="003E1E4F">
        <w:trPr>
          <w:trHeight w:val="882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4F12EE63" w14:textId="77777777" w:rsidR="00954F93" w:rsidRPr="004117BC" w:rsidRDefault="00954F93" w:rsidP="003E1E4F">
            <w:pPr>
              <w:pStyle w:val="Style8"/>
              <w:widowControl/>
              <w:rPr>
                <w:rFonts w:ascii="Arial" w:hAnsi="Arial" w:cs="Arial"/>
                <w:sz w:val="28"/>
              </w:rPr>
            </w:pPr>
          </w:p>
        </w:tc>
        <w:tc>
          <w:tcPr>
            <w:tcW w:w="87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038FD" w14:textId="77777777" w:rsidR="00954F93" w:rsidRPr="004117BC" w:rsidRDefault="00106E14" w:rsidP="00672BE3">
            <w:pPr>
              <w:pStyle w:val="Style19"/>
              <w:widowControl/>
              <w:spacing w:line="240" w:lineRule="auto"/>
              <w:ind w:right="278"/>
              <w:rPr>
                <w:rStyle w:val="FontStyle30"/>
                <w:rFonts w:ascii="Arial" w:hAnsi="Arial" w:cs="Arial"/>
                <w:sz w:val="16"/>
              </w:rPr>
            </w:pPr>
            <w:r w:rsidRPr="004117BC">
              <w:rPr>
                <w:rStyle w:val="FontStyle30"/>
                <w:rFonts w:ascii="Arial" w:hAnsi="Arial"/>
                <w:sz w:val="16"/>
                <w:vertAlign w:val="superscript"/>
              </w:rPr>
              <w:t xml:space="preserve">‡ </w:t>
            </w:r>
            <w:r w:rsidRPr="004117BC">
              <w:rPr>
                <w:rStyle w:val="FontStyle30"/>
                <w:rFonts w:ascii="Arial" w:hAnsi="Arial"/>
                <w:sz w:val="16"/>
              </w:rPr>
              <w:t xml:space="preserve">Neplatný vzorek může poukazovat na nesprávnou aplikaci, extrakci a/nebo PCR vzorku. RNA by měla být zředěna pětinásobně čištěnou vodou (PCR Grade </w:t>
            </w:r>
            <w:proofErr w:type="spellStart"/>
            <w:r w:rsidRPr="004117BC">
              <w:rPr>
                <w:rStyle w:val="FontStyle30"/>
                <w:rFonts w:ascii="Arial" w:hAnsi="Arial"/>
                <w:sz w:val="16"/>
              </w:rPr>
              <w:t>Water</w:t>
            </w:r>
            <w:proofErr w:type="spellEnd"/>
            <w:r w:rsidRPr="004117BC">
              <w:rPr>
                <w:rStyle w:val="FontStyle30"/>
                <w:rFonts w:ascii="Arial" w:hAnsi="Arial"/>
                <w:sz w:val="16"/>
              </w:rPr>
              <w:t xml:space="preserve">) 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>a </w:t>
            </w:r>
            <w:r w:rsidRPr="004117BC">
              <w:rPr>
                <w:rStyle w:val="FontStyle30"/>
                <w:rFonts w:ascii="Arial" w:hAnsi="Arial"/>
                <w:sz w:val="16"/>
              </w:rPr>
              <w:t>opětovně testována; jako vzor je třeba zahrnout neředěnou RNA. Pokud je test stále neplatný,</w:t>
            </w:r>
            <w:r w:rsidR="00672BE3" w:rsidRPr="004117BC">
              <w:rPr>
                <w:rStyle w:val="FontStyle30"/>
                <w:rFonts w:ascii="Arial" w:hAnsi="Arial"/>
                <w:sz w:val="16"/>
              </w:rPr>
              <w:t xml:space="preserve"> </w:t>
            </w:r>
            <w:r w:rsidRPr="004117BC">
              <w:rPr>
                <w:rStyle w:val="FontStyle30"/>
                <w:rFonts w:ascii="Arial" w:hAnsi="Arial"/>
                <w:sz w:val="16"/>
              </w:rPr>
              <w:t>doporučujeme provést novou extrakci.</w:t>
            </w:r>
          </w:p>
        </w:tc>
      </w:tr>
    </w:tbl>
    <w:p w14:paraId="05C735A1" w14:textId="77777777" w:rsidR="00954F93" w:rsidRPr="004117BC" w:rsidRDefault="00954F93" w:rsidP="003E1E4F">
      <w:pPr>
        <w:widowControl/>
        <w:rPr>
          <w:rStyle w:val="FontStyle30"/>
          <w:rFonts w:ascii="Arial" w:hAnsi="Arial" w:cs="Arial"/>
          <w:sz w:val="16"/>
        </w:rPr>
        <w:sectPr w:rsidR="00954F93" w:rsidRPr="004117BC" w:rsidSect="009E353A">
          <w:pgSz w:w="11907" w:h="16839" w:code="9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3E0BDA16" w14:textId="77777777" w:rsidR="003E1E4F" w:rsidRPr="004117BC" w:rsidRDefault="003E1E4F" w:rsidP="003E1E4F">
      <w:pPr>
        <w:pStyle w:val="Style10"/>
        <w:widowControl/>
        <w:rPr>
          <w:rStyle w:val="FontStyle31"/>
          <w:rFonts w:ascii="Arial" w:hAnsi="Arial" w:cs="Arial"/>
          <w:sz w:val="18"/>
        </w:rPr>
      </w:pPr>
    </w:p>
    <w:p w14:paraId="67BA4805" w14:textId="77777777" w:rsidR="00954F93" w:rsidRPr="004117BC" w:rsidRDefault="00106E14" w:rsidP="003E1E4F">
      <w:pPr>
        <w:pStyle w:val="Style10"/>
        <w:widowControl/>
        <w:rPr>
          <w:rStyle w:val="FontStyle31"/>
          <w:rFonts w:ascii="Arial" w:hAnsi="Arial" w:cs="Arial"/>
          <w:sz w:val="18"/>
        </w:rPr>
      </w:pPr>
      <w:r w:rsidRPr="004117BC">
        <w:rPr>
          <w:rStyle w:val="FontStyle31"/>
          <w:rFonts w:ascii="Arial" w:hAnsi="Arial"/>
          <w:sz w:val="18"/>
        </w:rPr>
        <w:t>Odbornou pomoc získáte zde:</w:t>
      </w:r>
    </w:p>
    <w:p w14:paraId="7069D356" w14:textId="77777777" w:rsidR="00954F93" w:rsidRPr="004117BC" w:rsidRDefault="00106E14" w:rsidP="003E1E4F">
      <w:pPr>
        <w:pStyle w:val="Style3"/>
        <w:widowControl/>
        <w:spacing w:line="240" w:lineRule="auto"/>
        <w:ind w:right="2918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IDEXX USA Tel: +1 800 548 9997 nebo +1 207 556 4895 IDEXX </w:t>
      </w:r>
      <w:proofErr w:type="spellStart"/>
      <w:r w:rsidRPr="004117BC">
        <w:rPr>
          <w:rStyle w:val="FontStyle32"/>
          <w:rFonts w:ascii="Arial" w:hAnsi="Arial"/>
          <w:sz w:val="16"/>
        </w:rPr>
        <w:t>Europe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Tel: +800 727 43399</w:t>
      </w:r>
    </w:p>
    <w:p w14:paraId="26DD7D2F" w14:textId="0DC0303B" w:rsidR="00954F93" w:rsidRPr="004117BC" w:rsidRDefault="00106E14" w:rsidP="003E1E4F">
      <w:pPr>
        <w:pStyle w:val="Style3"/>
        <w:widowControl/>
        <w:spacing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Obraťte se na oblastního manažera nebo distributora IDEXX nebo navštivte naši webovou stránku: </w:t>
      </w:r>
      <w:r w:rsidRPr="003B57BB">
        <w:rPr>
          <w:rFonts w:ascii="Arial" w:hAnsi="Arial"/>
          <w:sz w:val="16"/>
        </w:rPr>
        <w:t>idexx.com/</w:t>
      </w:r>
      <w:proofErr w:type="spellStart"/>
      <w:r w:rsidRPr="003B57BB">
        <w:rPr>
          <w:rFonts w:ascii="Arial" w:hAnsi="Arial"/>
          <w:sz w:val="16"/>
        </w:rPr>
        <w:t>contactlpd</w:t>
      </w:r>
      <w:proofErr w:type="spellEnd"/>
    </w:p>
    <w:p w14:paraId="1A184021" w14:textId="77777777" w:rsidR="00954F93" w:rsidRPr="004117BC" w:rsidRDefault="00954F93" w:rsidP="003E1E4F">
      <w:pPr>
        <w:pStyle w:val="Style3"/>
        <w:widowControl/>
        <w:spacing w:line="240" w:lineRule="auto"/>
        <w:jc w:val="both"/>
        <w:rPr>
          <w:rFonts w:ascii="Arial" w:hAnsi="Arial" w:cs="Arial"/>
          <w:sz w:val="22"/>
          <w:szCs w:val="20"/>
        </w:rPr>
      </w:pPr>
    </w:p>
    <w:p w14:paraId="2F60F37A" w14:textId="77777777" w:rsidR="00954F93" w:rsidRPr="004117BC" w:rsidRDefault="00954F93" w:rsidP="003E1E4F">
      <w:pPr>
        <w:pStyle w:val="Style3"/>
        <w:widowControl/>
        <w:spacing w:line="240" w:lineRule="auto"/>
        <w:jc w:val="both"/>
        <w:rPr>
          <w:rFonts w:ascii="Arial" w:hAnsi="Arial" w:cs="Arial"/>
          <w:sz w:val="22"/>
          <w:szCs w:val="20"/>
        </w:rPr>
      </w:pPr>
    </w:p>
    <w:p w14:paraId="35695FB8" w14:textId="77777777" w:rsidR="00954F93" w:rsidRPr="004117BC" w:rsidRDefault="00954F93" w:rsidP="003E1E4F">
      <w:pPr>
        <w:pStyle w:val="Style3"/>
        <w:widowControl/>
        <w:spacing w:line="240" w:lineRule="auto"/>
        <w:jc w:val="both"/>
        <w:rPr>
          <w:rFonts w:ascii="Arial" w:hAnsi="Arial" w:cs="Arial"/>
          <w:sz w:val="22"/>
          <w:szCs w:val="20"/>
        </w:rPr>
      </w:pPr>
    </w:p>
    <w:p w14:paraId="2689EBDD" w14:textId="77777777" w:rsidR="00954F93" w:rsidRPr="004117BC" w:rsidRDefault="00106E14" w:rsidP="003E1E4F">
      <w:pPr>
        <w:pStyle w:val="Style3"/>
        <w:widowControl/>
        <w:spacing w:line="240" w:lineRule="auto"/>
        <w:jc w:val="both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*IDEXX, </w:t>
      </w:r>
      <w:proofErr w:type="spellStart"/>
      <w:r w:rsidRPr="004117BC">
        <w:rPr>
          <w:rStyle w:val="FontStyle32"/>
          <w:rFonts w:ascii="Arial" w:hAnsi="Arial"/>
          <w:sz w:val="16"/>
        </w:rPr>
        <w:t>RealPCR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Test </w:t>
      </w:r>
      <w:proofErr w:type="spellStart"/>
      <w:r w:rsidRPr="004117BC">
        <w:rPr>
          <w:rStyle w:val="FontStyle32"/>
          <w:rFonts w:ascii="Arial" w:hAnsi="Arial"/>
          <w:sz w:val="16"/>
        </w:rPr>
        <w:t>With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</w:t>
      </w:r>
      <w:proofErr w:type="spellStart"/>
      <w:r w:rsidRPr="004117BC">
        <w:rPr>
          <w:rStyle w:val="FontStyle32"/>
          <w:rFonts w:ascii="Arial" w:hAnsi="Arial"/>
          <w:sz w:val="16"/>
        </w:rPr>
        <w:t>Confidence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jsou ochranné známky nebo registrované ochranné známky společnosti IDEXX </w:t>
      </w:r>
      <w:proofErr w:type="spellStart"/>
      <w:r w:rsidRPr="004117BC">
        <w:rPr>
          <w:rStyle w:val="FontStyle32"/>
          <w:rFonts w:ascii="Arial" w:hAnsi="Arial"/>
          <w:sz w:val="16"/>
        </w:rPr>
        <w:t>Laboratories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, Inc. nebo jejích přidružených společností </w:t>
      </w:r>
      <w:r w:rsidR="00672BE3" w:rsidRPr="004117BC">
        <w:rPr>
          <w:rStyle w:val="FontStyle32"/>
          <w:rFonts w:ascii="Arial" w:hAnsi="Arial"/>
          <w:sz w:val="16"/>
        </w:rPr>
        <w:t>v </w:t>
      </w:r>
      <w:r w:rsidRPr="004117BC">
        <w:rPr>
          <w:rStyle w:val="FontStyle32"/>
          <w:rFonts w:ascii="Arial" w:hAnsi="Arial"/>
          <w:sz w:val="16"/>
        </w:rPr>
        <w:t xml:space="preserve">USA a/nebo dalších zemích. Všechny další produkty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názvy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>loga společností jsou ochrannými známkami svých držitelů.</w:t>
      </w:r>
    </w:p>
    <w:p w14:paraId="142A44D8" w14:textId="77777777" w:rsidR="00954F93" w:rsidRPr="004117BC" w:rsidRDefault="00106E14" w:rsidP="003E1E4F">
      <w:pPr>
        <w:pStyle w:val="Style3"/>
        <w:widowControl/>
        <w:spacing w:before="173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Barviva, která jsou součástí tohoto produktu, jsou prodávána na základě licence společnosti </w:t>
      </w:r>
      <w:proofErr w:type="spellStart"/>
      <w:r w:rsidRPr="004117BC">
        <w:rPr>
          <w:rStyle w:val="FontStyle32"/>
          <w:rFonts w:ascii="Arial" w:hAnsi="Arial"/>
          <w:sz w:val="16"/>
        </w:rPr>
        <w:t>Biosearch</w:t>
      </w:r>
      <w:proofErr w:type="spellEnd"/>
      <w:r w:rsidRPr="004117BC">
        <w:rPr>
          <w:rStyle w:val="FontStyle32"/>
          <w:rFonts w:ascii="Arial" w:hAnsi="Arial"/>
          <w:sz w:val="16"/>
        </w:rPr>
        <w:t xml:space="preserve"> Technologies, Inc.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jsou chráněna patenty USA </w:t>
      </w:r>
      <w:r w:rsidR="00672BE3" w:rsidRPr="004117BC">
        <w:rPr>
          <w:rStyle w:val="FontStyle32"/>
          <w:rFonts w:ascii="Arial" w:hAnsi="Arial"/>
          <w:sz w:val="16"/>
        </w:rPr>
        <w:t>a </w:t>
      </w:r>
      <w:r w:rsidRPr="004117BC">
        <w:rPr>
          <w:rStyle w:val="FontStyle32"/>
          <w:rFonts w:ascii="Arial" w:hAnsi="Arial"/>
          <w:sz w:val="16"/>
        </w:rPr>
        <w:t xml:space="preserve">mezinárodními patenty, ať už byly vydány nebo je </w:t>
      </w:r>
      <w:r w:rsidR="00672BE3" w:rsidRPr="004117BC">
        <w:rPr>
          <w:rStyle w:val="FontStyle32"/>
          <w:rFonts w:ascii="Arial" w:hAnsi="Arial"/>
          <w:sz w:val="16"/>
        </w:rPr>
        <w:t>o </w:t>
      </w:r>
      <w:r w:rsidRPr="004117BC">
        <w:rPr>
          <w:rStyle w:val="FontStyle32"/>
          <w:rFonts w:ascii="Arial" w:hAnsi="Arial"/>
          <w:sz w:val="16"/>
        </w:rPr>
        <w:t xml:space="preserve">ně zažádáno. Licence pokrývá veterinární aplikace. Není určeno pro IVD použití </w:t>
      </w:r>
      <w:r w:rsidR="00672BE3" w:rsidRPr="004117BC">
        <w:rPr>
          <w:rStyle w:val="FontStyle32"/>
          <w:rFonts w:ascii="Arial" w:hAnsi="Arial"/>
          <w:sz w:val="16"/>
        </w:rPr>
        <w:t>u </w:t>
      </w:r>
      <w:r w:rsidRPr="004117BC">
        <w:rPr>
          <w:rStyle w:val="FontStyle32"/>
          <w:rFonts w:ascii="Arial" w:hAnsi="Arial"/>
          <w:sz w:val="16"/>
        </w:rPr>
        <w:t>člověka.</w:t>
      </w:r>
    </w:p>
    <w:p w14:paraId="349FD7DA" w14:textId="24A0A523" w:rsidR="00954F93" w:rsidRPr="004117BC" w:rsidRDefault="00106E14" w:rsidP="003E1E4F">
      <w:pPr>
        <w:pStyle w:val="Style3"/>
        <w:widowControl/>
        <w:spacing w:before="216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 xml:space="preserve">Informace </w:t>
      </w:r>
      <w:r w:rsidR="00672BE3" w:rsidRPr="004117BC">
        <w:rPr>
          <w:rStyle w:val="FontStyle32"/>
          <w:rFonts w:ascii="Arial" w:hAnsi="Arial"/>
          <w:sz w:val="16"/>
        </w:rPr>
        <w:t>o </w:t>
      </w:r>
      <w:r w:rsidRPr="004117BC">
        <w:rPr>
          <w:rStyle w:val="FontStyle32"/>
          <w:rFonts w:ascii="Arial" w:hAnsi="Arial"/>
          <w:sz w:val="16"/>
        </w:rPr>
        <w:t xml:space="preserve">patentu: </w:t>
      </w:r>
      <w:r w:rsidRPr="003B57BB">
        <w:rPr>
          <w:rFonts w:ascii="Arial" w:hAnsi="Arial"/>
          <w:sz w:val="16"/>
        </w:rPr>
        <w:t>idexx.com/</w:t>
      </w:r>
      <w:proofErr w:type="spellStart"/>
      <w:r w:rsidRPr="003B57BB">
        <w:rPr>
          <w:rFonts w:ascii="Arial" w:hAnsi="Arial"/>
          <w:sz w:val="16"/>
        </w:rPr>
        <w:t>patents</w:t>
      </w:r>
      <w:proofErr w:type="spellEnd"/>
    </w:p>
    <w:p w14:paraId="7328A7AD" w14:textId="1B5C13BC" w:rsidR="00106E14" w:rsidRPr="004117BC" w:rsidRDefault="00106E14" w:rsidP="003E1E4F">
      <w:pPr>
        <w:pStyle w:val="Style3"/>
        <w:widowControl/>
        <w:spacing w:before="48" w:line="240" w:lineRule="auto"/>
        <w:rPr>
          <w:rStyle w:val="FontStyle32"/>
          <w:rFonts w:ascii="Arial" w:hAnsi="Arial" w:cs="Arial"/>
          <w:sz w:val="16"/>
        </w:rPr>
      </w:pPr>
      <w:r w:rsidRPr="004117BC">
        <w:rPr>
          <w:rStyle w:val="FontStyle32"/>
          <w:rFonts w:ascii="Arial" w:hAnsi="Arial"/>
          <w:sz w:val="16"/>
        </w:rPr>
        <w:t>© 20</w:t>
      </w:r>
      <w:r w:rsidR="00A6599E" w:rsidRPr="004117BC">
        <w:rPr>
          <w:rStyle w:val="FontStyle32"/>
          <w:rFonts w:ascii="Arial" w:hAnsi="Arial"/>
          <w:sz w:val="16"/>
        </w:rPr>
        <w:t>24</w:t>
      </w:r>
      <w:r w:rsidRPr="004117BC">
        <w:rPr>
          <w:rStyle w:val="FontStyle32"/>
          <w:rFonts w:ascii="Arial" w:hAnsi="Arial"/>
          <w:sz w:val="16"/>
        </w:rPr>
        <w:t xml:space="preserve"> IDEXX </w:t>
      </w:r>
      <w:proofErr w:type="spellStart"/>
      <w:r w:rsidRPr="004117BC">
        <w:rPr>
          <w:rStyle w:val="FontStyle32"/>
          <w:rFonts w:ascii="Arial" w:hAnsi="Arial"/>
          <w:sz w:val="16"/>
        </w:rPr>
        <w:t>Laboratories</w:t>
      </w:r>
      <w:proofErr w:type="spellEnd"/>
      <w:r w:rsidRPr="004117BC">
        <w:rPr>
          <w:rStyle w:val="FontStyle32"/>
          <w:rFonts w:ascii="Arial" w:hAnsi="Arial"/>
          <w:sz w:val="16"/>
        </w:rPr>
        <w:t>, Inc. Všechna práva vyhrazena.</w:t>
      </w:r>
    </w:p>
    <w:sectPr w:rsidR="00106E14" w:rsidRPr="004117BC" w:rsidSect="009E353A">
      <w:pgSz w:w="11907" w:h="16839" w:code="9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EE9EC" w14:textId="77777777" w:rsidR="00BF7717" w:rsidRDefault="00BF7717">
      <w:r>
        <w:separator/>
      </w:r>
    </w:p>
  </w:endnote>
  <w:endnote w:type="continuationSeparator" w:id="0">
    <w:p w14:paraId="060D1804" w14:textId="77777777" w:rsidR="00BF7717" w:rsidRDefault="00BF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27862" w14:textId="77777777" w:rsidR="00BF7717" w:rsidRDefault="00BF7717">
      <w:r>
        <w:separator/>
      </w:r>
    </w:p>
  </w:footnote>
  <w:footnote w:type="continuationSeparator" w:id="0">
    <w:p w14:paraId="79588FF8" w14:textId="77777777" w:rsidR="00BF7717" w:rsidRDefault="00BF7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9215B" w14:textId="19FA3D98" w:rsidR="00056659" w:rsidRPr="00056659" w:rsidRDefault="00056659" w:rsidP="004117BC">
    <w:pPr>
      <w:pStyle w:val="Zhlav"/>
      <w:jc w:val="both"/>
      <w:rPr>
        <w:rFonts w:asciiTheme="minorHAnsi" w:hAnsiTheme="minorHAnsi" w:cstheme="minorHAnsi"/>
        <w:sz w:val="22"/>
        <w:szCs w:val="22"/>
      </w:rPr>
    </w:pPr>
    <w:r w:rsidRPr="00056659">
      <w:rPr>
        <w:rFonts w:asciiTheme="minorHAnsi" w:hAnsiTheme="minorHAnsi" w:cstheme="minorHAnsi"/>
        <w:sz w:val="22"/>
        <w:szCs w:val="22"/>
      </w:rPr>
      <w:t xml:space="preserve">Text návodu k použití součást dokumentace schválené rozhodnutím </w:t>
    </w:r>
    <w:proofErr w:type="spellStart"/>
    <w:r w:rsidRPr="00056659">
      <w:rPr>
        <w:rFonts w:asciiTheme="minorHAnsi" w:hAnsiTheme="minorHAnsi" w:cstheme="minorHAnsi"/>
        <w:sz w:val="22"/>
        <w:szCs w:val="22"/>
      </w:rPr>
      <w:t>sp.zn</w:t>
    </w:r>
    <w:proofErr w:type="spellEnd"/>
    <w:r w:rsidRPr="00056659">
      <w:rPr>
        <w:rFonts w:asciiTheme="minorHAnsi" w:hAnsiTheme="minorHAnsi" w:cstheme="minorHAnsi"/>
        <w:sz w:val="22"/>
        <w:szCs w:val="22"/>
      </w:rPr>
      <w:t xml:space="preserve">. USKVBL/3397/2024/POD, č.j. </w:t>
    </w:r>
    <w:r w:rsidRPr="00056659">
      <w:rPr>
        <w:rFonts w:asciiTheme="minorHAnsi" w:eastAsia="Times New Roman" w:hAnsiTheme="minorHAnsi" w:cstheme="minorHAnsi"/>
        <w:sz w:val="22"/>
        <w:szCs w:val="22"/>
      </w:rPr>
      <w:t>USKVBL/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1093121963"/>
      </w:sdtPr>
      <w:sdtEndPr/>
      <w:sdtContent>
        <w:r w:rsidRPr="00056659">
          <w:rPr>
            <w:rFonts w:asciiTheme="minorHAnsi" w:eastAsia="Times New Roman" w:hAnsiTheme="minorHAnsi" w:cstheme="minorHAnsi"/>
            <w:sz w:val="22"/>
            <w:szCs w:val="22"/>
          </w:rPr>
          <w:t>4258/2024</w:t>
        </w:r>
      </w:sdtContent>
    </w:sdt>
    <w:r w:rsidRPr="00056659">
      <w:rPr>
        <w:rFonts w:asciiTheme="minorHAnsi" w:eastAsia="Times New Roman" w:hAnsiTheme="minorHAnsi" w:cstheme="minorHAnsi"/>
        <w:sz w:val="22"/>
        <w:szCs w:val="22"/>
      </w:rPr>
      <w:t>/REG-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1576092190"/>
        <w:dropDownList>
          <w:listItem w:value="Zvolte položku."/>
          <w:listItem w:displayText="Neu" w:value="Neu"/>
          <w:listItem w:displayText="Št" w:value="Št"/>
          <w:listItem w:displayText="Podb" w:value="Podb"/>
          <w:listItem w:displayText="Gro " w:value="Gro "/>
        </w:dropDownList>
      </w:sdtPr>
      <w:sdtEndPr/>
      <w:sdtContent>
        <w:r w:rsidR="004117BC">
          <w:rPr>
            <w:rFonts w:asciiTheme="minorHAnsi" w:eastAsia="Times New Roman" w:hAnsiTheme="minorHAnsi" w:cstheme="minorHAnsi"/>
            <w:sz w:val="22"/>
            <w:szCs w:val="22"/>
          </w:rPr>
          <w:t xml:space="preserve">Gro </w:t>
        </w:r>
      </w:sdtContent>
    </w:sdt>
    <w:r w:rsidRPr="00056659">
      <w:rPr>
        <w:rFonts w:asciiTheme="minorHAnsi" w:hAnsiTheme="minorHAnsi" w:cstheme="minorHAnsi"/>
        <w:sz w:val="22"/>
        <w:szCs w:val="22"/>
      </w:rPr>
      <w:t>ze dne 26.</w:t>
    </w:r>
    <w:r w:rsidR="004117BC">
      <w:rPr>
        <w:rFonts w:asciiTheme="minorHAnsi" w:hAnsiTheme="minorHAnsi" w:cstheme="minorHAnsi"/>
        <w:sz w:val="22"/>
        <w:szCs w:val="22"/>
      </w:rPr>
      <w:t>0</w:t>
    </w:r>
    <w:r w:rsidRPr="00056659">
      <w:rPr>
        <w:rFonts w:asciiTheme="minorHAnsi" w:hAnsiTheme="minorHAnsi" w:cstheme="minorHAnsi"/>
        <w:sz w:val="22"/>
        <w:szCs w:val="22"/>
      </w:rPr>
      <w:t xml:space="preserve">3.2024 o změně platnosti rozhodnutí o schválení veterinárního přípravku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-562485618"/>
        <w:placeholder>
          <w:docPart w:val="1852D5CE71FD4F1C96A7E8094EAA960B"/>
        </w:placeholder>
        <w:text/>
      </w:sdtPr>
      <w:sdtEndPr/>
      <w:sdtContent>
        <w:r w:rsidRPr="00056659">
          <w:rPr>
            <w:rFonts w:asciiTheme="minorHAnsi" w:eastAsia="Times New Roman" w:hAnsiTheme="minorHAnsi" w:cstheme="minorHAnsi"/>
            <w:sz w:val="22"/>
            <w:szCs w:val="22"/>
          </w:rPr>
          <w:t xml:space="preserve">IDEXX </w:t>
        </w:r>
        <w:proofErr w:type="spellStart"/>
        <w:r w:rsidRPr="00056659">
          <w:rPr>
            <w:rFonts w:asciiTheme="minorHAnsi" w:eastAsia="Times New Roman" w:hAnsiTheme="minorHAnsi" w:cstheme="minorHAnsi"/>
            <w:sz w:val="22"/>
            <w:szCs w:val="22"/>
          </w:rPr>
          <w:t>RealPCR</w:t>
        </w:r>
        <w:proofErr w:type="spellEnd"/>
        <w:r w:rsidRPr="00056659">
          <w:rPr>
            <w:rFonts w:asciiTheme="minorHAnsi" w:eastAsia="Times New Roman" w:hAnsiTheme="minorHAnsi" w:cstheme="minorHAnsi"/>
            <w:sz w:val="22"/>
            <w:szCs w:val="22"/>
          </w:rPr>
          <w:t xml:space="preserve"> CSFV RNA Test</w:t>
        </w:r>
      </w:sdtContent>
    </w:sdt>
  </w:p>
  <w:p w14:paraId="448A67F7" w14:textId="77777777" w:rsidR="00056659" w:rsidRDefault="000566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AF4850E"/>
    <w:lvl w:ilvl="0">
      <w:numFmt w:val="bullet"/>
      <w:lvlText w:val="*"/>
      <w:lvlJc w:val="left"/>
    </w:lvl>
  </w:abstractNum>
  <w:abstractNum w:abstractNumId="1" w15:restartNumberingAfterBreak="0">
    <w:nsid w:val="7B0305F5"/>
    <w:multiLevelType w:val="hybridMultilevel"/>
    <w:tmpl w:val="3C366C2A"/>
    <w:lvl w:ilvl="0" w:tplc="DAF4850E">
      <w:start w:val="65535"/>
      <w:numFmt w:val="bullet"/>
      <w:lvlText w:val="•"/>
      <w:legacy w:legacy="1" w:legacySpace="0" w:legacyIndent="154"/>
      <w:lvlJc w:val="left"/>
      <w:rPr>
        <w:rFonts w:ascii="Arial Narrow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FE"/>
    <w:rsid w:val="00056659"/>
    <w:rsid w:val="00106E14"/>
    <w:rsid w:val="001131BB"/>
    <w:rsid w:val="002253EB"/>
    <w:rsid w:val="002C4DC9"/>
    <w:rsid w:val="003423A1"/>
    <w:rsid w:val="003943FC"/>
    <w:rsid w:val="003B57BB"/>
    <w:rsid w:val="003E1E4F"/>
    <w:rsid w:val="004117BC"/>
    <w:rsid w:val="00440907"/>
    <w:rsid w:val="00636237"/>
    <w:rsid w:val="00672BE3"/>
    <w:rsid w:val="008C0161"/>
    <w:rsid w:val="008C48FE"/>
    <w:rsid w:val="00954F93"/>
    <w:rsid w:val="009914B7"/>
    <w:rsid w:val="009E353A"/>
    <w:rsid w:val="00A42F24"/>
    <w:rsid w:val="00A6599E"/>
    <w:rsid w:val="00AD1F06"/>
    <w:rsid w:val="00B56771"/>
    <w:rsid w:val="00BF7717"/>
    <w:rsid w:val="00D14704"/>
    <w:rsid w:val="00F3627D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D19C57"/>
  <w15:docId w15:val="{4FB67D77-A339-B142-9C30-D5A9A463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4F93"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C48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954F93"/>
    <w:pPr>
      <w:spacing w:line="984" w:lineRule="exact"/>
      <w:jc w:val="right"/>
    </w:pPr>
  </w:style>
  <w:style w:type="paragraph" w:customStyle="1" w:styleId="Style2">
    <w:name w:val="Style2"/>
    <w:basedOn w:val="Normln"/>
    <w:uiPriority w:val="99"/>
    <w:rsid w:val="00954F93"/>
  </w:style>
  <w:style w:type="paragraph" w:customStyle="1" w:styleId="Style3">
    <w:name w:val="Style3"/>
    <w:basedOn w:val="Normln"/>
    <w:uiPriority w:val="99"/>
    <w:rsid w:val="00954F93"/>
    <w:pPr>
      <w:spacing w:line="209" w:lineRule="exact"/>
    </w:pPr>
  </w:style>
  <w:style w:type="paragraph" w:customStyle="1" w:styleId="Style4">
    <w:name w:val="Style4"/>
    <w:basedOn w:val="Normln"/>
    <w:uiPriority w:val="99"/>
    <w:rsid w:val="00954F93"/>
    <w:pPr>
      <w:spacing w:line="163" w:lineRule="exact"/>
      <w:ind w:firstLine="192"/>
    </w:pPr>
  </w:style>
  <w:style w:type="paragraph" w:customStyle="1" w:styleId="Style5">
    <w:name w:val="Style5"/>
    <w:basedOn w:val="Normln"/>
    <w:uiPriority w:val="99"/>
    <w:rsid w:val="00954F93"/>
    <w:pPr>
      <w:spacing w:line="158" w:lineRule="exact"/>
      <w:jc w:val="center"/>
    </w:pPr>
  </w:style>
  <w:style w:type="paragraph" w:customStyle="1" w:styleId="Style6">
    <w:name w:val="Style6"/>
    <w:basedOn w:val="Normln"/>
    <w:uiPriority w:val="99"/>
    <w:rsid w:val="00954F93"/>
    <w:pPr>
      <w:spacing w:line="200" w:lineRule="exact"/>
    </w:pPr>
  </w:style>
  <w:style w:type="paragraph" w:customStyle="1" w:styleId="Style7">
    <w:name w:val="Style7"/>
    <w:basedOn w:val="Normln"/>
    <w:uiPriority w:val="99"/>
    <w:rsid w:val="00954F93"/>
    <w:pPr>
      <w:spacing w:line="202" w:lineRule="exact"/>
    </w:pPr>
  </w:style>
  <w:style w:type="paragraph" w:customStyle="1" w:styleId="Style8">
    <w:name w:val="Style8"/>
    <w:basedOn w:val="Normln"/>
    <w:uiPriority w:val="99"/>
    <w:rsid w:val="00954F93"/>
  </w:style>
  <w:style w:type="paragraph" w:customStyle="1" w:styleId="Style9">
    <w:name w:val="Style9"/>
    <w:basedOn w:val="Normln"/>
    <w:uiPriority w:val="99"/>
    <w:rsid w:val="00954F93"/>
    <w:pPr>
      <w:spacing w:line="190" w:lineRule="exact"/>
      <w:ind w:hanging="154"/>
    </w:pPr>
  </w:style>
  <w:style w:type="paragraph" w:customStyle="1" w:styleId="Style10">
    <w:name w:val="Style10"/>
    <w:basedOn w:val="Normln"/>
    <w:uiPriority w:val="99"/>
    <w:rsid w:val="00954F93"/>
  </w:style>
  <w:style w:type="paragraph" w:customStyle="1" w:styleId="Style11">
    <w:name w:val="Style11"/>
    <w:basedOn w:val="Normln"/>
    <w:uiPriority w:val="99"/>
    <w:rsid w:val="00954F93"/>
  </w:style>
  <w:style w:type="paragraph" w:customStyle="1" w:styleId="Style12">
    <w:name w:val="Style12"/>
    <w:basedOn w:val="Normln"/>
    <w:uiPriority w:val="99"/>
    <w:rsid w:val="00954F93"/>
  </w:style>
  <w:style w:type="paragraph" w:customStyle="1" w:styleId="Style13">
    <w:name w:val="Style13"/>
    <w:basedOn w:val="Normln"/>
    <w:uiPriority w:val="99"/>
    <w:rsid w:val="00954F93"/>
    <w:pPr>
      <w:spacing w:line="302" w:lineRule="exact"/>
      <w:jc w:val="center"/>
    </w:pPr>
  </w:style>
  <w:style w:type="paragraph" w:customStyle="1" w:styleId="Style14">
    <w:name w:val="Style14"/>
    <w:basedOn w:val="Normln"/>
    <w:uiPriority w:val="99"/>
    <w:rsid w:val="00954F93"/>
    <w:pPr>
      <w:spacing w:line="173" w:lineRule="exact"/>
      <w:ind w:hanging="149"/>
    </w:pPr>
  </w:style>
  <w:style w:type="paragraph" w:customStyle="1" w:styleId="Style15">
    <w:name w:val="Style15"/>
    <w:basedOn w:val="Normln"/>
    <w:uiPriority w:val="99"/>
    <w:rsid w:val="00954F93"/>
    <w:pPr>
      <w:spacing w:line="38" w:lineRule="exact"/>
    </w:pPr>
  </w:style>
  <w:style w:type="paragraph" w:customStyle="1" w:styleId="Style16">
    <w:name w:val="Style16"/>
    <w:basedOn w:val="Normln"/>
    <w:uiPriority w:val="99"/>
    <w:rsid w:val="00954F93"/>
  </w:style>
  <w:style w:type="paragraph" w:customStyle="1" w:styleId="Style17">
    <w:name w:val="Style17"/>
    <w:basedOn w:val="Normln"/>
    <w:uiPriority w:val="99"/>
    <w:rsid w:val="00954F93"/>
    <w:pPr>
      <w:spacing w:line="168" w:lineRule="exact"/>
      <w:jc w:val="center"/>
    </w:pPr>
  </w:style>
  <w:style w:type="paragraph" w:customStyle="1" w:styleId="Style18">
    <w:name w:val="Style18"/>
    <w:basedOn w:val="Normln"/>
    <w:uiPriority w:val="99"/>
    <w:rsid w:val="00954F93"/>
  </w:style>
  <w:style w:type="paragraph" w:customStyle="1" w:styleId="Style19">
    <w:name w:val="Style19"/>
    <w:basedOn w:val="Normln"/>
    <w:uiPriority w:val="99"/>
    <w:rsid w:val="00954F93"/>
    <w:pPr>
      <w:spacing w:line="170" w:lineRule="exact"/>
    </w:pPr>
  </w:style>
  <w:style w:type="character" w:customStyle="1" w:styleId="FontStyle21">
    <w:name w:val="Font Style21"/>
    <w:basedOn w:val="Standardnpsmoodstavce"/>
    <w:uiPriority w:val="99"/>
    <w:rsid w:val="00954F93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2">
    <w:name w:val="Font Style22"/>
    <w:basedOn w:val="Standardnpsmoodstavce"/>
    <w:uiPriority w:val="99"/>
    <w:rsid w:val="00954F93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3">
    <w:name w:val="Font Style23"/>
    <w:basedOn w:val="Standardnpsmoodstavce"/>
    <w:uiPriority w:val="99"/>
    <w:rsid w:val="00954F9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4">
    <w:name w:val="Font Style24"/>
    <w:basedOn w:val="Standardnpsmoodstavce"/>
    <w:uiPriority w:val="99"/>
    <w:rsid w:val="00954F93"/>
    <w:rPr>
      <w:rFonts w:ascii="Arial Unicode MS" w:eastAsia="Arial Unicode MS" w:cs="Arial Unicode MS"/>
      <w:b/>
      <w:bCs/>
      <w:color w:val="000000"/>
      <w:sz w:val="10"/>
      <w:szCs w:val="10"/>
    </w:rPr>
  </w:style>
  <w:style w:type="character" w:customStyle="1" w:styleId="FontStyle25">
    <w:name w:val="Font Style25"/>
    <w:basedOn w:val="Standardnpsmoodstavce"/>
    <w:uiPriority w:val="99"/>
    <w:rsid w:val="00954F93"/>
    <w:rPr>
      <w:rFonts w:ascii="Microsoft Sans Serif" w:hAnsi="Microsoft Sans Serif" w:cs="Microsoft Sans Serif"/>
      <w:b/>
      <w:bCs/>
      <w:color w:val="000000"/>
      <w:sz w:val="8"/>
      <w:szCs w:val="8"/>
    </w:rPr>
  </w:style>
  <w:style w:type="character" w:customStyle="1" w:styleId="FontStyle26">
    <w:name w:val="Font Style26"/>
    <w:basedOn w:val="Standardnpsmoodstavce"/>
    <w:uiPriority w:val="99"/>
    <w:rsid w:val="00954F93"/>
    <w:rPr>
      <w:rFonts w:ascii="Cordia New" w:hAnsi="Cordia New" w:cs="Cordia New"/>
      <w:b/>
      <w:bCs/>
      <w:color w:val="000000"/>
      <w:sz w:val="14"/>
      <w:szCs w:val="14"/>
    </w:rPr>
  </w:style>
  <w:style w:type="character" w:customStyle="1" w:styleId="FontStyle27">
    <w:name w:val="Font Style27"/>
    <w:basedOn w:val="Standardnpsmoodstavce"/>
    <w:uiPriority w:val="99"/>
    <w:rsid w:val="00954F93"/>
    <w:rPr>
      <w:rFonts w:ascii="Arial Narrow" w:hAnsi="Arial Narrow" w:cs="Arial Narrow"/>
      <w:smallCaps/>
      <w:color w:val="000000"/>
      <w:sz w:val="14"/>
      <w:szCs w:val="14"/>
    </w:rPr>
  </w:style>
  <w:style w:type="character" w:customStyle="1" w:styleId="FontStyle28">
    <w:name w:val="Font Style28"/>
    <w:basedOn w:val="Standardnpsmoodstavce"/>
    <w:uiPriority w:val="99"/>
    <w:rsid w:val="00954F93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9">
    <w:name w:val="Font Style29"/>
    <w:basedOn w:val="Standardnpsmoodstavce"/>
    <w:uiPriority w:val="99"/>
    <w:rsid w:val="00954F93"/>
    <w:rPr>
      <w:rFonts w:ascii="Microsoft Sans Serif" w:hAnsi="Microsoft Sans Serif" w:cs="Microsoft Sans Serif"/>
      <w:color w:val="000000"/>
      <w:sz w:val="10"/>
      <w:szCs w:val="10"/>
    </w:rPr>
  </w:style>
  <w:style w:type="character" w:customStyle="1" w:styleId="FontStyle30">
    <w:name w:val="Font Style30"/>
    <w:basedOn w:val="Standardnpsmoodstavce"/>
    <w:uiPriority w:val="99"/>
    <w:rsid w:val="00954F93"/>
    <w:rPr>
      <w:rFonts w:ascii="Arial Narrow" w:hAnsi="Arial Narrow" w:cs="Arial Narrow"/>
      <w:color w:val="000000"/>
      <w:sz w:val="14"/>
      <w:szCs w:val="14"/>
    </w:rPr>
  </w:style>
  <w:style w:type="character" w:customStyle="1" w:styleId="FontStyle31">
    <w:name w:val="Font Style31"/>
    <w:basedOn w:val="Standardnpsmoodstavce"/>
    <w:uiPriority w:val="99"/>
    <w:rsid w:val="00954F93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2">
    <w:name w:val="Font Style32"/>
    <w:basedOn w:val="Standardnpsmoodstavce"/>
    <w:uiPriority w:val="99"/>
    <w:rsid w:val="00954F93"/>
    <w:rPr>
      <w:rFonts w:ascii="Arial Narrow" w:hAnsi="Arial Narrow" w:cs="Arial Narrow"/>
      <w:color w:val="000000"/>
      <w:sz w:val="14"/>
      <w:szCs w:val="14"/>
    </w:rPr>
  </w:style>
  <w:style w:type="character" w:styleId="Hypertextovodkaz">
    <w:name w:val="Hyperlink"/>
    <w:basedOn w:val="Standardnpsmoodstavce"/>
    <w:uiPriority w:val="99"/>
    <w:rsid w:val="00954F93"/>
    <w:rPr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C48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4F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4F93"/>
    <w:rPr>
      <w:rFonts w:hAnsi="Arial Narrow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4F9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B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BE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566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6659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566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6659"/>
    <w:rPr>
      <w:rFonts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52D5CE71FD4F1C96A7E8094EAA96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86B9C-DCAC-4FB1-B5C1-8B749F0AD427}"/>
      </w:docPartPr>
      <w:docPartBody>
        <w:p w:rsidR="00AF7C3E" w:rsidRDefault="00A9298D" w:rsidP="00A9298D">
          <w:pPr>
            <w:pStyle w:val="1852D5CE71FD4F1C96A7E8094EAA960B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8D"/>
    <w:rsid w:val="00084E5C"/>
    <w:rsid w:val="005E3C18"/>
    <w:rsid w:val="00A9298D"/>
    <w:rsid w:val="00AF7C3E"/>
    <w:rsid w:val="00E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FD3BE7AE3D44558B17681F2E00BA9DF">
    <w:name w:val="AFD3BE7AE3D44558B17681F2E00BA9DF"/>
    <w:rsid w:val="00A9298D"/>
  </w:style>
  <w:style w:type="character" w:styleId="Zstupntext">
    <w:name w:val="Placeholder Text"/>
    <w:basedOn w:val="Standardnpsmoodstavce"/>
    <w:uiPriority w:val="99"/>
    <w:rsid w:val="00A9298D"/>
  </w:style>
  <w:style w:type="paragraph" w:customStyle="1" w:styleId="1852D5CE71FD4F1C96A7E8094EAA960B">
    <w:name w:val="1852D5CE71FD4F1C96A7E8094EAA960B"/>
    <w:rsid w:val="00A92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1953</Words>
  <Characters>11524</Characters>
  <Application>Microsoft Office Word</Application>
  <DocSecurity>0</DocSecurity>
  <Lines>96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Morávková Věra</cp:lastModifiedBy>
  <cp:revision>7</cp:revision>
  <dcterms:created xsi:type="dcterms:W3CDTF">2020-04-03T08:32:00Z</dcterms:created>
  <dcterms:modified xsi:type="dcterms:W3CDTF">2024-03-27T08:45:00Z</dcterms:modified>
</cp:coreProperties>
</file>