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0C60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0609E1C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59E6CD7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9C257B0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FAABDC5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43F2FAC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7148BC4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A428D1C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62C39C6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9B1292A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84E7A1" w14:textId="77777777" w:rsidR="00A64FC4" w:rsidRPr="004203D4" w:rsidRDefault="00A64FC4" w:rsidP="000747BD">
      <w:pPr>
        <w:tabs>
          <w:tab w:val="clear" w:pos="567"/>
          <w:tab w:val="left" w:pos="864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1B6EE3E" w14:textId="77777777" w:rsidR="00A64FC4" w:rsidRPr="004203D4" w:rsidRDefault="00A64FC4" w:rsidP="000747BD">
      <w:pPr>
        <w:tabs>
          <w:tab w:val="clear" w:pos="567"/>
          <w:tab w:val="left" w:pos="864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1DEA9F3" w14:textId="77777777" w:rsidR="00A64FC4" w:rsidRPr="004203D4" w:rsidRDefault="00A64FC4" w:rsidP="000747BD">
      <w:pPr>
        <w:tabs>
          <w:tab w:val="clear" w:pos="567"/>
          <w:tab w:val="left" w:pos="864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2A988E" w14:textId="77777777" w:rsidR="00A64FC4" w:rsidRPr="004203D4" w:rsidRDefault="00A64FC4" w:rsidP="000747BD">
      <w:pPr>
        <w:tabs>
          <w:tab w:val="clear" w:pos="567"/>
          <w:tab w:val="left" w:pos="864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B2B7226" w14:textId="77777777" w:rsidR="00A64FC4" w:rsidRPr="004203D4" w:rsidRDefault="00A64FC4" w:rsidP="000747BD">
      <w:pPr>
        <w:tabs>
          <w:tab w:val="clear" w:pos="567"/>
          <w:tab w:val="left" w:pos="864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CC711AB" w14:textId="77777777" w:rsidR="00A64FC4" w:rsidRPr="004203D4" w:rsidRDefault="00A64FC4" w:rsidP="000747BD">
      <w:pPr>
        <w:tabs>
          <w:tab w:val="clear" w:pos="567"/>
          <w:tab w:val="left" w:pos="864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BFD9C3E" w14:textId="77777777" w:rsidR="00A64FC4" w:rsidRPr="004203D4" w:rsidRDefault="00A64FC4" w:rsidP="000747BD">
      <w:pPr>
        <w:tabs>
          <w:tab w:val="clear" w:pos="567"/>
          <w:tab w:val="left" w:pos="864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B5FEF88" w14:textId="77777777" w:rsidR="00A64FC4" w:rsidRPr="004203D4" w:rsidRDefault="00A64FC4" w:rsidP="000747BD">
      <w:pPr>
        <w:tabs>
          <w:tab w:val="clear" w:pos="567"/>
          <w:tab w:val="left" w:pos="864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A751BBC" w14:textId="77777777" w:rsidR="00A64FC4" w:rsidRPr="004203D4" w:rsidRDefault="00A64FC4" w:rsidP="000747BD">
      <w:pPr>
        <w:tabs>
          <w:tab w:val="clear" w:pos="567"/>
          <w:tab w:val="left" w:pos="864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9B5C15A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CC79386" w14:textId="77777777" w:rsidR="00A64FC4" w:rsidRPr="004203D4" w:rsidRDefault="00A64FC4" w:rsidP="00A64FC4">
      <w:pPr>
        <w:pStyle w:val="TITLEA1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</w:rPr>
        <w:t>B. PŘÍBALOVÁ INFORMACE</w:t>
      </w:r>
    </w:p>
    <w:p w14:paraId="0F738939" w14:textId="77777777" w:rsidR="00A64FC4" w:rsidRPr="004203D4" w:rsidRDefault="00A64FC4" w:rsidP="00A64FC4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4203D4">
        <w:rPr>
          <w:rFonts w:asciiTheme="majorBidi" w:hAnsiTheme="majorBidi" w:cstheme="majorBidi"/>
          <w:szCs w:val="22"/>
        </w:rPr>
        <w:br w:type="page"/>
      </w:r>
      <w:r w:rsidRPr="004203D4">
        <w:rPr>
          <w:rFonts w:asciiTheme="majorBidi" w:hAnsiTheme="majorBidi" w:cstheme="majorBidi"/>
          <w:b/>
          <w:szCs w:val="22"/>
        </w:rPr>
        <w:lastRenderedPageBreak/>
        <w:t>PŘÍBALOVÁ INFORMACE</w:t>
      </w:r>
    </w:p>
    <w:p w14:paraId="5E6407D4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8D364FF" w14:textId="77777777" w:rsidR="00A64FC4" w:rsidRPr="004203D4" w:rsidRDefault="00A64FC4" w:rsidP="00A64FC4">
      <w:pPr>
        <w:pStyle w:val="Style1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1.</w:t>
      </w:r>
      <w:r w:rsidRPr="004203D4">
        <w:rPr>
          <w:rFonts w:asciiTheme="majorBidi" w:hAnsiTheme="majorBidi" w:cstheme="majorBidi"/>
        </w:rPr>
        <w:tab/>
        <w:t>Název veterinárního léčivého přípravku</w:t>
      </w:r>
    </w:p>
    <w:p w14:paraId="70D67016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D96F9F2" w14:textId="672F6A32" w:rsidR="00A64FC4" w:rsidRPr="004203D4" w:rsidRDefault="00A64FC4" w:rsidP="00A64FC4">
      <w:pPr>
        <w:rPr>
          <w:color w:val="000000"/>
        </w:rPr>
      </w:pPr>
      <w:r w:rsidRPr="004203D4">
        <w:rPr>
          <w:color w:val="000000"/>
        </w:rPr>
        <w:t xml:space="preserve">Ampiclox Lactating Cow 75 mg/200 mg </w:t>
      </w:r>
      <w:r w:rsidR="00C61A5F" w:rsidRPr="004203D4">
        <w:rPr>
          <w:color w:val="000000"/>
        </w:rPr>
        <w:t xml:space="preserve">intramamární </w:t>
      </w:r>
      <w:r w:rsidRPr="004203D4">
        <w:rPr>
          <w:color w:val="000000"/>
        </w:rPr>
        <w:t>suspenze</w:t>
      </w:r>
      <w:r w:rsidR="00C61A5F" w:rsidRPr="004203D4">
        <w:rPr>
          <w:color w:val="000000"/>
        </w:rPr>
        <w:t xml:space="preserve"> pro skot</w:t>
      </w:r>
    </w:p>
    <w:p w14:paraId="53FF9FCA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0A1F15C" w14:textId="77777777" w:rsidR="00A64FC4" w:rsidRPr="004203D4" w:rsidRDefault="00A64FC4" w:rsidP="00A64FC4">
      <w:pPr>
        <w:pStyle w:val="Style1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2.</w:t>
      </w:r>
      <w:r w:rsidRPr="004203D4">
        <w:rPr>
          <w:rFonts w:asciiTheme="majorBidi" w:hAnsiTheme="majorBidi" w:cstheme="majorBidi"/>
        </w:rPr>
        <w:tab/>
        <w:t>Složení</w:t>
      </w:r>
    </w:p>
    <w:p w14:paraId="2FB51C42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209CE8A" w14:textId="6783BD1B" w:rsidR="00A64FC4" w:rsidRPr="004203D4" w:rsidRDefault="00A64FC4" w:rsidP="00A64FC4">
      <w:r w:rsidRPr="004203D4">
        <w:t>Jeden aplikátor (1 dávka) obsahuje:</w:t>
      </w:r>
    </w:p>
    <w:p w14:paraId="5D4577AC" w14:textId="77777777" w:rsidR="00A64FC4" w:rsidRPr="004203D4" w:rsidRDefault="00A64FC4" w:rsidP="00A64FC4">
      <w:pPr>
        <w:rPr>
          <w:rFonts w:asciiTheme="majorBidi" w:hAnsiTheme="majorBidi" w:cstheme="majorBidi"/>
          <w:b/>
          <w:iCs/>
          <w:szCs w:val="22"/>
        </w:rPr>
      </w:pPr>
    </w:p>
    <w:p w14:paraId="4D0CDEC5" w14:textId="77777777" w:rsidR="00A64FC4" w:rsidRPr="004203D4" w:rsidRDefault="00A64FC4" w:rsidP="00A64FC4">
      <w:pPr>
        <w:rPr>
          <w:rFonts w:asciiTheme="majorBidi" w:hAnsiTheme="majorBidi" w:cstheme="majorBidi"/>
          <w:b/>
          <w:i/>
          <w:szCs w:val="22"/>
        </w:rPr>
      </w:pPr>
      <w:r w:rsidRPr="004203D4">
        <w:rPr>
          <w:rFonts w:asciiTheme="majorBidi" w:hAnsiTheme="majorBidi" w:cstheme="majorBidi"/>
          <w:b/>
          <w:iCs/>
          <w:szCs w:val="22"/>
        </w:rPr>
        <w:t>Léčivé látky</w:t>
      </w:r>
      <w:r w:rsidRPr="004203D4">
        <w:rPr>
          <w:rFonts w:asciiTheme="majorBidi" w:hAnsiTheme="majorBidi" w:cstheme="majorBidi"/>
          <w:b/>
          <w:i/>
          <w:szCs w:val="22"/>
        </w:rPr>
        <w:t>:</w:t>
      </w:r>
    </w:p>
    <w:p w14:paraId="01CB0AE1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8E29474" w14:textId="43FA91A5" w:rsidR="00B40096" w:rsidRPr="004203D4" w:rsidRDefault="00A64FC4" w:rsidP="00A64FC4">
      <w:pPr>
        <w:rPr>
          <w:color w:val="000000"/>
        </w:rPr>
      </w:pPr>
      <w:r w:rsidRPr="004203D4">
        <w:rPr>
          <w:color w:val="000000"/>
        </w:rPr>
        <w:t>Ampicillinum (</w:t>
      </w:r>
      <w:r w:rsidR="001F4789" w:rsidRPr="004203D4">
        <w:rPr>
          <w:color w:val="000000"/>
        </w:rPr>
        <w:t xml:space="preserve">jako </w:t>
      </w:r>
      <w:r w:rsidRPr="004203D4">
        <w:rPr>
          <w:color w:val="000000"/>
        </w:rPr>
        <w:t>ampicillinum natricum)</w:t>
      </w:r>
      <w:r w:rsidRPr="004203D4">
        <w:rPr>
          <w:color w:val="000000"/>
        </w:rPr>
        <w:tab/>
      </w:r>
      <w:r w:rsidRPr="004203D4">
        <w:rPr>
          <w:color w:val="000000"/>
        </w:rPr>
        <w:tab/>
        <w:t>75 mg</w:t>
      </w:r>
    </w:p>
    <w:p w14:paraId="656D0F03" w14:textId="7EB242CD" w:rsidR="00A64FC4" w:rsidRPr="004203D4" w:rsidRDefault="00A64FC4" w:rsidP="00A64FC4">
      <w:pPr>
        <w:rPr>
          <w:color w:val="000000"/>
        </w:rPr>
      </w:pPr>
      <w:r w:rsidRPr="004203D4">
        <w:rPr>
          <w:color w:val="000000"/>
        </w:rPr>
        <w:t>Cloxacillinum (</w:t>
      </w:r>
      <w:r w:rsidR="001F4789" w:rsidRPr="004203D4">
        <w:rPr>
          <w:color w:val="000000"/>
        </w:rPr>
        <w:t xml:space="preserve">jako </w:t>
      </w:r>
      <w:r w:rsidRPr="004203D4">
        <w:rPr>
          <w:color w:val="000000"/>
        </w:rPr>
        <w:t>cloxacillinum natricum)</w:t>
      </w:r>
      <w:r w:rsidRPr="004203D4">
        <w:rPr>
          <w:color w:val="000000"/>
        </w:rPr>
        <w:tab/>
      </w:r>
      <w:r w:rsidRPr="004203D4">
        <w:rPr>
          <w:color w:val="000000"/>
        </w:rPr>
        <w:tab/>
        <w:t>200 mg</w:t>
      </w:r>
    </w:p>
    <w:p w14:paraId="23E5C58E" w14:textId="77777777" w:rsidR="00A64FC4" w:rsidRPr="004203D4" w:rsidRDefault="00A64FC4" w:rsidP="00A64FC4"/>
    <w:p w14:paraId="40D88C70" w14:textId="77777777" w:rsidR="00A64FC4" w:rsidRPr="004203D4" w:rsidRDefault="00A64FC4" w:rsidP="00A64FC4">
      <w:pPr>
        <w:rPr>
          <w:b/>
          <w:szCs w:val="22"/>
        </w:rPr>
      </w:pPr>
      <w:r w:rsidRPr="004203D4">
        <w:rPr>
          <w:b/>
          <w:szCs w:val="22"/>
        </w:rPr>
        <w:t>Pomocné látky:</w:t>
      </w:r>
    </w:p>
    <w:p w14:paraId="4E9072D6" w14:textId="17B9A6D7" w:rsidR="00A64FC4" w:rsidRPr="004203D4" w:rsidRDefault="00A64FC4" w:rsidP="00A64FC4">
      <w:r w:rsidRPr="004203D4">
        <w:t>Butylhydroxyani</w:t>
      </w:r>
      <w:r w:rsidR="00355C54" w:rsidRPr="004203D4">
        <w:t>s</w:t>
      </w:r>
      <w:r w:rsidRPr="004203D4">
        <w:t>ol (E320)</w:t>
      </w:r>
      <w:r w:rsidRPr="004203D4">
        <w:tab/>
      </w:r>
      <w:r w:rsidRPr="004203D4">
        <w:tab/>
      </w:r>
      <w:r w:rsidRPr="004203D4">
        <w:tab/>
      </w:r>
      <w:r w:rsidRPr="004203D4">
        <w:tab/>
        <w:t>0,61 mg</w:t>
      </w:r>
    </w:p>
    <w:p w14:paraId="169266E4" w14:textId="77777777" w:rsidR="00A64FC4" w:rsidRPr="004203D4" w:rsidRDefault="00A64FC4" w:rsidP="00A64FC4"/>
    <w:p w14:paraId="71C5EDDB" w14:textId="48423D07" w:rsidR="006814E8" w:rsidRPr="004203D4" w:rsidRDefault="006814E8" w:rsidP="00A64FC4">
      <w:r w:rsidRPr="004203D4">
        <w:t>Šedobílá suspenze.</w:t>
      </w:r>
    </w:p>
    <w:p w14:paraId="1990AE5A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E7D7694" w14:textId="77777777" w:rsidR="00A64FC4" w:rsidRPr="004203D4" w:rsidRDefault="00A64FC4" w:rsidP="00A64FC4">
      <w:pPr>
        <w:pStyle w:val="Style1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3.</w:t>
      </w:r>
      <w:r w:rsidRPr="004203D4">
        <w:rPr>
          <w:rFonts w:asciiTheme="majorBidi" w:hAnsiTheme="majorBidi" w:cstheme="majorBidi"/>
        </w:rPr>
        <w:tab/>
        <w:t>Cílové druhy zvířat</w:t>
      </w:r>
    </w:p>
    <w:p w14:paraId="0E3AFB56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7C8D77B" w14:textId="510F6A90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4203D4">
        <w:rPr>
          <w:rFonts w:asciiTheme="majorBidi" w:hAnsiTheme="majorBidi" w:cstheme="majorBidi"/>
          <w:szCs w:val="22"/>
        </w:rPr>
        <w:t>Skot (dojnice v laktaci)</w:t>
      </w:r>
      <w:r w:rsidR="00291242" w:rsidRPr="004203D4">
        <w:rPr>
          <w:rFonts w:asciiTheme="majorBidi" w:hAnsiTheme="majorBidi" w:cstheme="majorBidi"/>
          <w:szCs w:val="22"/>
        </w:rPr>
        <w:t>.</w:t>
      </w:r>
    </w:p>
    <w:p w14:paraId="3EFF36DE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BDF183F" w14:textId="77777777" w:rsidR="00A64FC4" w:rsidRPr="004203D4" w:rsidRDefault="00A64FC4" w:rsidP="00A64FC4">
      <w:pPr>
        <w:pStyle w:val="Style1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4.</w:t>
      </w:r>
      <w:r w:rsidRPr="004203D4">
        <w:rPr>
          <w:rFonts w:asciiTheme="majorBidi" w:hAnsiTheme="majorBidi" w:cstheme="majorBidi"/>
        </w:rPr>
        <w:tab/>
        <w:t>Indikace pro použití</w:t>
      </w:r>
    </w:p>
    <w:p w14:paraId="38B2245F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52A112D" w14:textId="2628CAD6" w:rsidR="00A64FC4" w:rsidRPr="004203D4" w:rsidRDefault="00A64FC4" w:rsidP="00A64FC4">
      <w:pPr>
        <w:rPr>
          <w:color w:val="000000"/>
        </w:rPr>
      </w:pPr>
      <w:r w:rsidRPr="004203D4">
        <w:rPr>
          <w:color w:val="000000"/>
        </w:rPr>
        <w:t xml:space="preserve">Léčba mastitid </w:t>
      </w:r>
      <w:r w:rsidR="000D2663" w:rsidRPr="004203D4">
        <w:rPr>
          <w:color w:val="000000"/>
        </w:rPr>
        <w:t xml:space="preserve">vyvolaných </w:t>
      </w:r>
      <w:r w:rsidRPr="004203D4">
        <w:rPr>
          <w:color w:val="000000"/>
        </w:rPr>
        <w:t xml:space="preserve">bakteriemi </w:t>
      </w:r>
      <w:r w:rsidR="009B7854" w:rsidRPr="004203D4">
        <w:rPr>
          <w:color w:val="000000"/>
        </w:rPr>
        <w:t xml:space="preserve">citlivými ke kombinaci ampicilinu a kloxacilinu </w:t>
      </w:r>
      <w:r w:rsidRPr="004203D4">
        <w:rPr>
          <w:color w:val="000000"/>
        </w:rPr>
        <w:t xml:space="preserve">u krav v laktaci: </w:t>
      </w:r>
    </w:p>
    <w:p w14:paraId="59E1BBD2" w14:textId="77777777" w:rsidR="00A64FC4" w:rsidRPr="004203D4" w:rsidRDefault="00A64FC4" w:rsidP="00A64FC4">
      <w:pPr>
        <w:rPr>
          <w:color w:val="000000"/>
        </w:rPr>
      </w:pPr>
      <w:r w:rsidRPr="004203D4">
        <w:rPr>
          <w:i/>
        </w:rPr>
        <w:t xml:space="preserve">Streptococcus dysgalactiae, Streptococcus agalactiae, Streptococcuc uberis, </w:t>
      </w:r>
      <w:r w:rsidRPr="004203D4">
        <w:rPr>
          <w:i/>
          <w:color w:val="000000"/>
        </w:rPr>
        <w:t xml:space="preserve">Staphylococcus </w:t>
      </w:r>
      <w:r w:rsidRPr="004203D4">
        <w:rPr>
          <w:color w:val="000000"/>
        </w:rPr>
        <w:t xml:space="preserve">spp. (kmeny penicilin rezistentní a senzitivní), </w:t>
      </w:r>
      <w:r w:rsidRPr="004203D4">
        <w:rPr>
          <w:i/>
          <w:color w:val="000000"/>
        </w:rPr>
        <w:t xml:space="preserve">Corynebacterium </w:t>
      </w:r>
      <w:r w:rsidRPr="004203D4">
        <w:rPr>
          <w:color w:val="000000"/>
        </w:rPr>
        <w:t>spp</w:t>
      </w:r>
      <w:r w:rsidRPr="004203D4">
        <w:rPr>
          <w:i/>
          <w:color w:val="000000"/>
        </w:rPr>
        <w:t>., E. coli</w:t>
      </w:r>
      <w:r w:rsidRPr="004203D4">
        <w:rPr>
          <w:color w:val="000000"/>
        </w:rPr>
        <w:t>.</w:t>
      </w:r>
    </w:p>
    <w:p w14:paraId="43EF4446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3F06C32" w14:textId="77777777" w:rsidR="00A64FC4" w:rsidRPr="004203D4" w:rsidRDefault="00A64FC4" w:rsidP="00A64FC4">
      <w:pPr>
        <w:pStyle w:val="Style1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5.</w:t>
      </w:r>
      <w:r w:rsidRPr="004203D4">
        <w:rPr>
          <w:rFonts w:asciiTheme="majorBidi" w:hAnsiTheme="majorBidi" w:cstheme="majorBidi"/>
        </w:rPr>
        <w:tab/>
        <w:t>Kontraindikace</w:t>
      </w:r>
    </w:p>
    <w:p w14:paraId="597371C2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36C3EA7" w14:textId="6996F750" w:rsidR="00D47B7A" w:rsidRPr="004203D4" w:rsidRDefault="00D47B7A" w:rsidP="00A64FC4">
      <w:pPr>
        <w:autoSpaceDE w:val="0"/>
        <w:autoSpaceDN w:val="0"/>
        <w:adjustRightInd w:val="0"/>
        <w:jc w:val="both"/>
      </w:pPr>
      <w:r w:rsidRPr="004203D4">
        <w:t>Nepoužívat v případech přecitlivělosti na léčivé látky</w:t>
      </w:r>
      <w:r w:rsidR="00BB691D" w:rsidRPr="004203D4">
        <w:t xml:space="preserve"> nebo na některou z pomocných látek</w:t>
      </w:r>
      <w:r w:rsidRPr="004203D4">
        <w:t>.</w:t>
      </w:r>
      <w:r w:rsidRPr="004203D4" w:rsidDel="005B5D79">
        <w:t xml:space="preserve"> </w:t>
      </w:r>
    </w:p>
    <w:p w14:paraId="7BE4769F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6A7BAF6" w14:textId="77777777" w:rsidR="00A64FC4" w:rsidRPr="004203D4" w:rsidRDefault="00A64FC4" w:rsidP="00A64FC4">
      <w:pPr>
        <w:pStyle w:val="Style1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6.</w:t>
      </w:r>
      <w:r w:rsidRPr="004203D4">
        <w:rPr>
          <w:rFonts w:asciiTheme="majorBidi" w:hAnsiTheme="majorBidi" w:cstheme="majorBidi"/>
        </w:rPr>
        <w:tab/>
        <w:t>Zvláštní upozornění</w:t>
      </w:r>
    </w:p>
    <w:p w14:paraId="6BBC12F5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930258F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203D4">
        <w:rPr>
          <w:szCs w:val="22"/>
          <w:u w:val="single"/>
        </w:rPr>
        <w:t>Zvláštní upozornění:</w:t>
      </w:r>
    </w:p>
    <w:p w14:paraId="3D1F1661" w14:textId="77777777" w:rsidR="00762A29" w:rsidRPr="004203D4" w:rsidRDefault="00762A29" w:rsidP="00762A29">
      <w:pPr>
        <w:autoSpaceDE w:val="0"/>
        <w:autoSpaceDN w:val="0"/>
        <w:adjustRightInd w:val="0"/>
        <w:jc w:val="both"/>
      </w:pPr>
      <w:r w:rsidRPr="004203D4">
        <w:t>Nejsou.</w:t>
      </w:r>
    </w:p>
    <w:p w14:paraId="2D4C2299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CD80F36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203D4">
        <w:rPr>
          <w:szCs w:val="22"/>
          <w:u w:val="single"/>
        </w:rPr>
        <w:t>Zvláštní opatření pro bezpečné použití u cílových druhů zvířat:</w:t>
      </w:r>
    </w:p>
    <w:p w14:paraId="7DF7F4CC" w14:textId="77777777" w:rsidR="0060358B" w:rsidRPr="004203D4" w:rsidRDefault="0060358B" w:rsidP="0060358B">
      <w:pPr>
        <w:tabs>
          <w:tab w:val="clear" w:pos="567"/>
        </w:tabs>
        <w:spacing w:line="240" w:lineRule="auto"/>
      </w:pPr>
      <w:r w:rsidRPr="004203D4">
        <w:t>Použití přípravku by mělo být založeno na kultivaci a výsledku stanovení citlivosti mikroorganizmů pocházejících z výskytů případů onemocnění. Pokud to není možné, je nutné založit terapii na místních (regionální, na úrovni farmy) epizootologických informacích a znalostech o citlivosti cílové bakterie.</w:t>
      </w:r>
    </w:p>
    <w:p w14:paraId="2C773DBB" w14:textId="77777777" w:rsidR="0060358B" w:rsidRPr="004203D4" w:rsidRDefault="0060358B" w:rsidP="0060358B">
      <w:pPr>
        <w:tabs>
          <w:tab w:val="clear" w:pos="567"/>
        </w:tabs>
        <w:spacing w:line="240" w:lineRule="auto"/>
      </w:pPr>
    </w:p>
    <w:p w14:paraId="75880014" w14:textId="6D537FC3" w:rsidR="0060358B" w:rsidRPr="004203D4" w:rsidRDefault="0060358B" w:rsidP="0060358B">
      <w:pPr>
        <w:tabs>
          <w:tab w:val="clear" w:pos="567"/>
        </w:tabs>
        <w:spacing w:line="240" w:lineRule="auto"/>
      </w:pPr>
      <w:r w:rsidRPr="004203D4">
        <w:t>Při použití přípravku je nutno vzít v úvahu oficiální a místní pravidla antibiotické politiky.</w:t>
      </w:r>
    </w:p>
    <w:p w14:paraId="7D77F49A" w14:textId="77777777" w:rsidR="0060358B" w:rsidRPr="004203D4" w:rsidRDefault="0060358B" w:rsidP="0060358B">
      <w:pPr>
        <w:tabs>
          <w:tab w:val="clear" w:pos="567"/>
        </w:tabs>
        <w:spacing w:line="240" w:lineRule="auto"/>
      </w:pPr>
    </w:p>
    <w:p w14:paraId="7DEFA32A" w14:textId="77777777" w:rsidR="0060358B" w:rsidRPr="004203D4" w:rsidRDefault="0060358B" w:rsidP="0060358B">
      <w:pPr>
        <w:tabs>
          <w:tab w:val="clear" w:pos="567"/>
        </w:tabs>
        <w:spacing w:line="240" w:lineRule="auto"/>
      </w:pPr>
      <w:r w:rsidRPr="004203D4">
        <w:t>Použití přípravku, které je odlišné od pokynů uvedených v tomto souhrnu údajů o přípravku (SPC), může zvýšit prevalenci bakterií rezistentních k ampicilinu a/nebo kloxacilinu a snížit účinnost terapie ostatními beta-laktamy z důvodu možné zkřížené rezistence.</w:t>
      </w:r>
    </w:p>
    <w:p w14:paraId="6E51D1EF" w14:textId="5F9AB5A4" w:rsidR="00762A29" w:rsidRPr="004203D4" w:rsidRDefault="00762A29" w:rsidP="00762A29"/>
    <w:p w14:paraId="7B16216F" w14:textId="77777777" w:rsidR="00A64FC4" w:rsidRPr="004203D4" w:rsidRDefault="00A64FC4" w:rsidP="00A64FC4">
      <w:pPr>
        <w:jc w:val="both"/>
        <w:rPr>
          <w:rFonts w:asciiTheme="majorBidi" w:hAnsiTheme="majorBidi" w:cstheme="majorBidi"/>
          <w:b/>
          <w:szCs w:val="22"/>
        </w:rPr>
      </w:pPr>
    </w:p>
    <w:p w14:paraId="1B0D9D35" w14:textId="77777777" w:rsidR="00A64FC4" w:rsidRPr="004203D4" w:rsidRDefault="00A64FC4" w:rsidP="00A64FC4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203D4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707FA642" w14:textId="77777777" w:rsidR="00A64FC4" w:rsidRPr="004203D4" w:rsidRDefault="00A64FC4" w:rsidP="00A64FC4">
      <w:pPr>
        <w:jc w:val="both"/>
        <w:rPr>
          <w:szCs w:val="22"/>
        </w:rPr>
      </w:pPr>
      <w:r w:rsidRPr="004203D4">
        <w:rPr>
          <w:szCs w:val="22"/>
        </w:rPr>
        <w:t>Při nakládání s veterinárním léčivým přípravkem by se měly používat gumové rukavice, aby nedošlo ke kontaktu léčiva s kůží.</w:t>
      </w:r>
    </w:p>
    <w:p w14:paraId="6C1A1B19" w14:textId="4D373EE7" w:rsidR="00A64FC4" w:rsidRPr="004203D4" w:rsidRDefault="00A64FC4" w:rsidP="00A64FC4">
      <w:pPr>
        <w:jc w:val="both"/>
        <w:rPr>
          <w:szCs w:val="22"/>
        </w:rPr>
      </w:pPr>
      <w:r w:rsidRPr="004203D4">
        <w:rPr>
          <w:szCs w:val="22"/>
        </w:rPr>
        <w:t>Peniciliny a cefalosporiny mohou po injekci, inhalaci, požití nebo po kožním kontaktu vyvolat hypersensitivitu (alergii). Hypersensitivita na peniciliny může vést ke zkříženým reakcím s</w:t>
      </w:r>
      <w:r w:rsidR="002A700C" w:rsidRPr="004203D4">
        <w:rPr>
          <w:szCs w:val="22"/>
        </w:rPr>
        <w:t> </w:t>
      </w:r>
      <w:r w:rsidRPr="004203D4">
        <w:rPr>
          <w:szCs w:val="22"/>
        </w:rPr>
        <w:t xml:space="preserve">cefalosporiny a naopak. Příležitostně mohou být alergické reakce na tyto látky i vážné. </w:t>
      </w:r>
    </w:p>
    <w:p w14:paraId="408E884A" w14:textId="77777777" w:rsidR="00A64FC4" w:rsidRPr="004203D4" w:rsidRDefault="00A64FC4" w:rsidP="00A64FC4">
      <w:pPr>
        <w:jc w:val="both"/>
        <w:rPr>
          <w:szCs w:val="22"/>
        </w:rPr>
      </w:pPr>
      <w:r w:rsidRPr="004203D4">
        <w:rPr>
          <w:szCs w:val="22"/>
        </w:rPr>
        <w:t xml:space="preserve">Lidé se známou přecitlivělostí na peniciliny a cefalosporiny by se měli vyhnout kontaktu s veterinárním léčivým přípravkem. </w:t>
      </w:r>
    </w:p>
    <w:p w14:paraId="370F629D" w14:textId="77777777" w:rsidR="00A64FC4" w:rsidRPr="004203D4" w:rsidRDefault="00A64FC4" w:rsidP="00A64FC4">
      <w:pPr>
        <w:rPr>
          <w:szCs w:val="22"/>
        </w:rPr>
      </w:pPr>
      <w:r w:rsidRPr="004203D4">
        <w:rPr>
          <w:szCs w:val="22"/>
        </w:rPr>
        <w:t>Pokud se rozvinou postexpoziční příznaky jako kožní vyrážka, vyhledejte lékařskou pomoc a ukažte příbalovou informaci nebo etiketu praktickému lékaři. Otok obličeje, rtů, očí nebo potíže s dýcháním jsou vážné symptomy a je doporučeno v těchto případech vyhledat pomoc lékaře.</w:t>
      </w:r>
    </w:p>
    <w:p w14:paraId="6446F1CE" w14:textId="77777777" w:rsidR="00A64FC4" w:rsidRPr="004203D4" w:rsidRDefault="00A64FC4" w:rsidP="00A64FC4">
      <w:pPr>
        <w:jc w:val="both"/>
        <w:rPr>
          <w:rFonts w:asciiTheme="majorBidi" w:hAnsiTheme="majorBidi" w:cstheme="majorBidi"/>
          <w:szCs w:val="22"/>
        </w:rPr>
      </w:pPr>
    </w:p>
    <w:p w14:paraId="10B764B3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03D4">
        <w:rPr>
          <w:szCs w:val="22"/>
          <w:u w:val="single"/>
        </w:rPr>
        <w:t>Březost a laktace</w:t>
      </w:r>
      <w:r w:rsidRPr="004203D4">
        <w:t>:</w:t>
      </w:r>
    </w:p>
    <w:p w14:paraId="669ED9FA" w14:textId="77777777" w:rsidR="00A64FC4" w:rsidRPr="004203D4" w:rsidRDefault="00A64FC4" w:rsidP="00A64FC4">
      <w:pPr>
        <w:keepNext/>
        <w:rPr>
          <w:color w:val="000000"/>
        </w:rPr>
      </w:pPr>
      <w:r w:rsidRPr="004203D4">
        <w:rPr>
          <w:color w:val="000000"/>
        </w:rPr>
        <w:t>Přípravek je určen k léčbě klinických mastitid u krav v laktaci.</w:t>
      </w:r>
    </w:p>
    <w:p w14:paraId="771D3970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73173ED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szCs w:val="22"/>
        </w:rPr>
      </w:pPr>
      <w:r w:rsidRPr="004203D4">
        <w:rPr>
          <w:szCs w:val="22"/>
          <w:u w:val="single"/>
        </w:rPr>
        <w:t>Předávkování</w:t>
      </w:r>
      <w:r w:rsidRPr="004203D4">
        <w:t>:</w:t>
      </w:r>
    </w:p>
    <w:p w14:paraId="26C2787F" w14:textId="77777777" w:rsidR="00762A29" w:rsidRPr="004203D4" w:rsidRDefault="00762A29" w:rsidP="00762A29">
      <w:r w:rsidRPr="004203D4">
        <w:t>Předávkování je velmi nepravděpodobné, protože se vždy aplikuje obsah celého aplikátoru. Při náhodném předávkování nebyly pozorovány žádné nežádoucí účinky.</w:t>
      </w:r>
    </w:p>
    <w:p w14:paraId="2D51FA05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3CF14DE9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</w:pPr>
      <w:r w:rsidRPr="004203D4">
        <w:rPr>
          <w:szCs w:val="22"/>
          <w:u w:val="single"/>
        </w:rPr>
        <w:t>Interakce s jinými léčivými přípravky a další formy interakce</w:t>
      </w:r>
      <w:r w:rsidRPr="004203D4">
        <w:t>:</w:t>
      </w:r>
    </w:p>
    <w:p w14:paraId="3E854EE9" w14:textId="21EA94E4" w:rsidR="00762A29" w:rsidRPr="004203D4" w:rsidRDefault="00762A29" w:rsidP="00762A29">
      <w:pPr>
        <w:ind w:left="709" w:hanging="709"/>
        <w:jc w:val="both"/>
        <w:rPr>
          <w:rFonts w:asciiTheme="majorBidi" w:hAnsiTheme="majorBidi" w:cstheme="majorBidi"/>
          <w:szCs w:val="22"/>
        </w:rPr>
      </w:pPr>
      <w:r w:rsidRPr="004203D4">
        <w:rPr>
          <w:rFonts w:asciiTheme="majorBidi" w:hAnsiTheme="majorBidi" w:cstheme="majorBidi"/>
          <w:szCs w:val="22"/>
        </w:rPr>
        <w:t>Nejsou známy.</w:t>
      </w:r>
    </w:p>
    <w:p w14:paraId="3F5EB2F0" w14:textId="2F037F4C" w:rsidR="00B53D73" w:rsidRPr="004203D4" w:rsidRDefault="00B53D73" w:rsidP="00762A29">
      <w:pPr>
        <w:ind w:left="709" w:hanging="709"/>
        <w:jc w:val="both"/>
        <w:rPr>
          <w:rFonts w:asciiTheme="majorBidi" w:hAnsiTheme="majorBidi" w:cstheme="majorBidi"/>
          <w:szCs w:val="22"/>
        </w:rPr>
      </w:pPr>
    </w:p>
    <w:p w14:paraId="343765D8" w14:textId="3EF0B028" w:rsidR="00B53D73" w:rsidRPr="004203D4" w:rsidRDefault="00B53D73" w:rsidP="00762A29">
      <w:pPr>
        <w:ind w:left="709" w:hanging="709"/>
        <w:jc w:val="both"/>
        <w:rPr>
          <w:u w:val="single"/>
        </w:rPr>
      </w:pPr>
      <w:r w:rsidRPr="004203D4">
        <w:rPr>
          <w:u w:val="single"/>
        </w:rPr>
        <w:t>Hlavní inkompatibility:</w:t>
      </w:r>
    </w:p>
    <w:p w14:paraId="32A2C885" w14:textId="20CAFDDD" w:rsidR="00B53D73" w:rsidRPr="004203D4" w:rsidRDefault="00B53D73" w:rsidP="00762A29">
      <w:pPr>
        <w:ind w:left="709" w:hanging="709"/>
        <w:jc w:val="both"/>
        <w:rPr>
          <w:rFonts w:asciiTheme="majorBidi" w:hAnsiTheme="majorBidi" w:cstheme="majorBidi"/>
          <w:szCs w:val="22"/>
        </w:rPr>
      </w:pPr>
      <w:r w:rsidRPr="004203D4">
        <w:t>Nejsou známy.</w:t>
      </w:r>
    </w:p>
    <w:p w14:paraId="211F3563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454FCD5D" w14:textId="77777777" w:rsidR="00A64FC4" w:rsidRPr="004203D4" w:rsidRDefault="00A64FC4" w:rsidP="00A64FC4">
      <w:pPr>
        <w:pStyle w:val="Style1"/>
        <w:jc w:val="both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7.</w:t>
      </w:r>
      <w:r w:rsidRPr="004203D4">
        <w:rPr>
          <w:rFonts w:asciiTheme="majorBidi" w:hAnsiTheme="majorBidi" w:cstheme="majorBidi"/>
        </w:rPr>
        <w:tab/>
        <w:t>Nežádoucí účinky</w:t>
      </w:r>
    </w:p>
    <w:p w14:paraId="218654AF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228C7374" w14:textId="77777777" w:rsidR="006C2110" w:rsidRPr="004203D4" w:rsidRDefault="006C2110" w:rsidP="006C2110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4203D4">
        <w:rPr>
          <w:rFonts w:asciiTheme="majorBidi" w:hAnsiTheme="majorBidi" w:cstheme="majorBidi"/>
          <w:szCs w:val="22"/>
        </w:rPr>
        <w:t>Skot (dojnice v laktaci)</w:t>
      </w:r>
    </w:p>
    <w:p w14:paraId="6D18AC25" w14:textId="77777777" w:rsidR="00A64FC4" w:rsidRPr="004203D4" w:rsidRDefault="00A64FC4" w:rsidP="00A64FC4">
      <w:pPr>
        <w:jc w:val="both"/>
        <w:rPr>
          <w:rFonts w:asciiTheme="majorBidi" w:hAnsiTheme="majorBidi" w:cstheme="majorBidi"/>
          <w:szCs w:val="22"/>
        </w:rPr>
      </w:pPr>
    </w:p>
    <w:p w14:paraId="66910997" w14:textId="77777777" w:rsidR="00A64FC4" w:rsidRPr="004203D4" w:rsidRDefault="00A64FC4" w:rsidP="00A64FC4">
      <w:pPr>
        <w:jc w:val="both"/>
        <w:rPr>
          <w:rFonts w:asciiTheme="majorBidi" w:hAnsiTheme="majorBidi" w:cstheme="majorBidi"/>
          <w:szCs w:val="22"/>
        </w:rPr>
      </w:pPr>
      <w:r w:rsidRPr="004203D4">
        <w:rPr>
          <w:rFonts w:asciiTheme="majorBidi" w:hAnsiTheme="majorBidi" w:cstheme="majorBidi"/>
          <w:szCs w:val="22"/>
        </w:rPr>
        <w:t>Nejsou známy.</w:t>
      </w:r>
    </w:p>
    <w:p w14:paraId="6529D353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</w:pPr>
    </w:p>
    <w:p w14:paraId="39BB10DC" w14:textId="77777777" w:rsidR="006C2110" w:rsidRPr="004203D4" w:rsidRDefault="006C2110" w:rsidP="006C2110">
      <w:pPr>
        <w:tabs>
          <w:tab w:val="clear" w:pos="567"/>
        </w:tabs>
        <w:spacing w:line="240" w:lineRule="auto"/>
        <w:jc w:val="both"/>
      </w:pPr>
      <w:r w:rsidRPr="004203D4">
        <w:t xml:space="preserve">Hlášení nežádoucích účinků je důležité. Umožňuje nepřetržité sledování bezpečnosti přípravku. Jestliže 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14:paraId="7AEF2879" w14:textId="77777777" w:rsidR="006F69FE" w:rsidRPr="004203D4" w:rsidRDefault="006F69FE" w:rsidP="006C2110">
      <w:pPr>
        <w:tabs>
          <w:tab w:val="clear" w:pos="567"/>
        </w:tabs>
        <w:spacing w:line="240" w:lineRule="auto"/>
        <w:jc w:val="both"/>
      </w:pPr>
    </w:p>
    <w:p w14:paraId="254B359C" w14:textId="77777777" w:rsidR="006C2110" w:rsidRPr="004203D4" w:rsidRDefault="006C2110" w:rsidP="006C2110">
      <w:pPr>
        <w:tabs>
          <w:tab w:val="clear" w:pos="567"/>
        </w:tabs>
        <w:spacing w:line="240" w:lineRule="auto"/>
        <w:jc w:val="both"/>
      </w:pPr>
      <w:r w:rsidRPr="004203D4">
        <w:t xml:space="preserve">Ústav pro státní kontrolu veterinárních biopreparátů a léčiv </w:t>
      </w:r>
    </w:p>
    <w:p w14:paraId="51546FE5" w14:textId="43F0A36A" w:rsidR="006C2110" w:rsidRPr="004203D4" w:rsidRDefault="006C2110" w:rsidP="006C2110">
      <w:pPr>
        <w:tabs>
          <w:tab w:val="clear" w:pos="567"/>
        </w:tabs>
        <w:spacing w:line="240" w:lineRule="auto"/>
        <w:jc w:val="both"/>
      </w:pPr>
      <w:r w:rsidRPr="004203D4">
        <w:t>Hudcova 232/56</w:t>
      </w:r>
      <w:r w:rsidR="006F69FE" w:rsidRPr="004203D4">
        <w:t xml:space="preserve"> </w:t>
      </w:r>
      <w:r w:rsidRPr="004203D4">
        <w:t xml:space="preserve">a </w:t>
      </w:r>
    </w:p>
    <w:p w14:paraId="2F55964F" w14:textId="77777777" w:rsidR="006C2110" w:rsidRPr="004203D4" w:rsidRDefault="006C2110" w:rsidP="006C2110">
      <w:pPr>
        <w:tabs>
          <w:tab w:val="clear" w:pos="567"/>
        </w:tabs>
        <w:spacing w:line="240" w:lineRule="auto"/>
        <w:jc w:val="both"/>
      </w:pPr>
      <w:r w:rsidRPr="004203D4">
        <w:t>621 00 Brno</w:t>
      </w:r>
    </w:p>
    <w:p w14:paraId="017420AE" w14:textId="30C4FDD5" w:rsidR="006C2110" w:rsidRPr="004203D4" w:rsidRDefault="006F69FE" w:rsidP="006C2110">
      <w:pPr>
        <w:tabs>
          <w:tab w:val="clear" w:pos="567"/>
        </w:tabs>
        <w:spacing w:line="240" w:lineRule="auto"/>
        <w:jc w:val="both"/>
      </w:pPr>
      <w:r w:rsidRPr="004203D4">
        <w:t>E-m</w:t>
      </w:r>
      <w:r w:rsidR="006C2110" w:rsidRPr="004203D4">
        <w:t>ail: adr@uskvbl.cz</w:t>
      </w:r>
    </w:p>
    <w:p w14:paraId="5F166DBA" w14:textId="77777777" w:rsidR="006C2110" w:rsidRPr="004203D4" w:rsidRDefault="006C2110" w:rsidP="006C2110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  <w:r w:rsidRPr="004203D4">
        <w:t xml:space="preserve">Webové stránky: </w:t>
      </w:r>
      <w:hyperlink r:id="rId8" w:history="1">
        <w:r w:rsidRPr="004203D4">
          <w:rPr>
            <w:rStyle w:val="Hypertextovodkaz"/>
          </w:rPr>
          <w:t>http://www.uskvbl.cz/cs/farmakovigilance</w:t>
        </w:r>
      </w:hyperlink>
      <w:r w:rsidRPr="004203D4">
        <w:t xml:space="preserve">  </w:t>
      </w:r>
    </w:p>
    <w:p w14:paraId="76416123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453868F6" w14:textId="77777777" w:rsidR="00A64FC4" w:rsidRPr="004203D4" w:rsidRDefault="00A64FC4" w:rsidP="00A64FC4">
      <w:pPr>
        <w:pStyle w:val="Style1"/>
        <w:jc w:val="both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8.</w:t>
      </w:r>
      <w:r w:rsidRPr="004203D4">
        <w:rPr>
          <w:rFonts w:asciiTheme="majorBidi" w:hAnsiTheme="majorBidi" w:cstheme="majorBidi"/>
        </w:rPr>
        <w:tab/>
        <w:t>Dávkování pro každý druh, cesty a způsob podání</w:t>
      </w:r>
    </w:p>
    <w:p w14:paraId="201F78EA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726E70C9" w14:textId="77777777" w:rsidR="00A64FC4" w:rsidRPr="004203D4" w:rsidRDefault="00A64FC4" w:rsidP="00A64FC4">
      <w:pPr>
        <w:tabs>
          <w:tab w:val="left" w:pos="709"/>
          <w:tab w:val="left" w:pos="1985"/>
          <w:tab w:val="left" w:pos="2552"/>
        </w:tabs>
        <w:ind w:right="-477"/>
        <w:jc w:val="both"/>
        <w:rPr>
          <w:szCs w:val="22"/>
        </w:rPr>
      </w:pPr>
      <w:r w:rsidRPr="004203D4">
        <w:rPr>
          <w:szCs w:val="22"/>
        </w:rPr>
        <w:t>Intramamární podání</w:t>
      </w:r>
    </w:p>
    <w:p w14:paraId="11E9CFAD" w14:textId="77777777" w:rsidR="00A64FC4" w:rsidRPr="004203D4" w:rsidRDefault="00A64FC4" w:rsidP="00A64FC4"/>
    <w:p w14:paraId="23E35831" w14:textId="1B27563C" w:rsidR="00614A9A" w:rsidRPr="004203D4" w:rsidRDefault="00A64FC4" w:rsidP="00A64FC4">
      <w:pPr>
        <w:rPr>
          <w:color w:val="000000"/>
        </w:rPr>
      </w:pPr>
      <w:r w:rsidRPr="004203D4">
        <w:rPr>
          <w:color w:val="000000"/>
        </w:rPr>
        <w:t xml:space="preserve">Obsah jednoho </w:t>
      </w:r>
      <w:r w:rsidR="00E6669A" w:rsidRPr="004203D4">
        <w:rPr>
          <w:color w:val="000000"/>
        </w:rPr>
        <w:t>aplikátoru</w:t>
      </w:r>
      <w:r w:rsidRPr="004203D4">
        <w:rPr>
          <w:color w:val="000000"/>
        </w:rPr>
        <w:t xml:space="preserve"> se </w:t>
      </w:r>
      <w:r w:rsidR="00E6669A" w:rsidRPr="004203D4">
        <w:rPr>
          <w:color w:val="000000"/>
        </w:rPr>
        <w:t>podá</w:t>
      </w:r>
      <w:r w:rsidRPr="004203D4">
        <w:rPr>
          <w:color w:val="000000"/>
        </w:rPr>
        <w:t xml:space="preserve"> do infikované čtvrti. Celkově se provedou tři aplikace ve 12 nebo 24 hodinových intervalech.</w:t>
      </w:r>
    </w:p>
    <w:p w14:paraId="51D0CEAD" w14:textId="56089FB2" w:rsidR="00A64FC4" w:rsidRPr="004203D4" w:rsidRDefault="00A64FC4" w:rsidP="00A64FC4">
      <w:pPr>
        <w:rPr>
          <w:color w:val="000000"/>
        </w:rPr>
      </w:pPr>
      <w:r w:rsidRPr="004203D4">
        <w:rPr>
          <w:color w:val="000000"/>
        </w:rPr>
        <w:t>Léčená čtvrť může být při následném dojení opět vydojena.</w:t>
      </w:r>
    </w:p>
    <w:p w14:paraId="5295B0D7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53AE1AD2" w14:textId="77777777" w:rsidR="00A64FC4" w:rsidRPr="004203D4" w:rsidRDefault="00A64FC4" w:rsidP="00A64FC4">
      <w:pPr>
        <w:pStyle w:val="Style1"/>
        <w:jc w:val="both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9.</w:t>
      </w:r>
      <w:r w:rsidRPr="004203D4">
        <w:rPr>
          <w:rFonts w:asciiTheme="majorBidi" w:hAnsiTheme="majorBidi" w:cstheme="majorBidi"/>
        </w:rPr>
        <w:tab/>
        <w:t>Informace o správném podávání</w:t>
      </w:r>
    </w:p>
    <w:p w14:paraId="5947C7A6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31C31195" w14:textId="77114F7A" w:rsidR="00A64FC4" w:rsidRPr="004203D4" w:rsidRDefault="00A64FC4" w:rsidP="00A64FC4">
      <w:pPr>
        <w:rPr>
          <w:color w:val="000000"/>
        </w:rPr>
      </w:pPr>
      <w:r w:rsidRPr="004203D4">
        <w:rPr>
          <w:color w:val="000000"/>
        </w:rPr>
        <w:lastRenderedPageBreak/>
        <w:t>Aplikuje se do vydojeného očištěného a vydezinfikovaného struku. Nástavec aplikátoru se zavede do strukového kanál</w:t>
      </w:r>
      <w:r w:rsidR="00C93C7E" w:rsidRPr="004203D4">
        <w:rPr>
          <w:color w:val="000000"/>
        </w:rPr>
        <w:t>k</w:t>
      </w:r>
      <w:r w:rsidRPr="004203D4">
        <w:rPr>
          <w:color w:val="000000"/>
        </w:rPr>
        <w:t>u a lehkým tlakem na píst se zvolna aplikuje.</w:t>
      </w:r>
    </w:p>
    <w:p w14:paraId="740391C6" w14:textId="4F24017B" w:rsidR="00A64FC4" w:rsidRPr="004203D4" w:rsidRDefault="00A64FC4" w:rsidP="00A64FC4">
      <w:pPr>
        <w:rPr>
          <w:szCs w:val="22"/>
        </w:rPr>
      </w:pPr>
      <w:r w:rsidRPr="004203D4">
        <w:rPr>
          <w:szCs w:val="22"/>
        </w:rPr>
        <w:t>Příprava a použití krátkého hrotu: Uchopit krycí klobouček mezi ukazovák a palec, ohnout a odstranit (viz obrázek na vnějším obal</w:t>
      </w:r>
      <w:r w:rsidR="00BB691D" w:rsidRPr="004203D4">
        <w:rPr>
          <w:szCs w:val="22"/>
        </w:rPr>
        <w:t>u</w:t>
      </w:r>
      <w:r w:rsidRPr="004203D4">
        <w:rPr>
          <w:szCs w:val="22"/>
        </w:rPr>
        <w:t xml:space="preserve"> přípravku). Do strukového kanálku zavést pouze bílou část hrotu dle nákresu. Přípravek aplikovat šetrně pod mírným tlakem až do rovnoměrného naplnění strukového kanálku.</w:t>
      </w:r>
    </w:p>
    <w:p w14:paraId="33090C4F" w14:textId="3359A2AD" w:rsidR="00A64FC4" w:rsidRPr="004203D4" w:rsidRDefault="00A64FC4" w:rsidP="00A64FC4">
      <w:pPr>
        <w:rPr>
          <w:szCs w:val="22"/>
        </w:rPr>
      </w:pPr>
      <w:r w:rsidRPr="004203D4">
        <w:rPr>
          <w:szCs w:val="22"/>
        </w:rPr>
        <w:t>Příprava a použití konvenčního hrotu: Uchopit spodní část krycího kloboučku mezi ukazovák a palec, ohnout, přitlačit a odstranit (viz obrázek na vnějším obal</w:t>
      </w:r>
      <w:r w:rsidR="00AA6F8B" w:rsidRPr="004203D4">
        <w:rPr>
          <w:szCs w:val="22"/>
        </w:rPr>
        <w:t>u</w:t>
      </w:r>
      <w:r w:rsidRPr="004203D4">
        <w:rPr>
          <w:szCs w:val="22"/>
        </w:rPr>
        <w:t xml:space="preserve"> přípravku). Přípravek aplikovat šetrně pod mírným tlakem až do rovnoměrného naplnění strukového kanálku.</w:t>
      </w:r>
    </w:p>
    <w:p w14:paraId="7D2A0677" w14:textId="77777777" w:rsidR="00A64FC4" w:rsidRPr="004203D4" w:rsidRDefault="00A64FC4" w:rsidP="00A64FC4">
      <w:pPr>
        <w:rPr>
          <w:szCs w:val="22"/>
        </w:rPr>
      </w:pPr>
    </w:p>
    <w:p w14:paraId="50470648" w14:textId="77777777" w:rsidR="00A64FC4" w:rsidRPr="004203D4" w:rsidRDefault="00A64FC4" w:rsidP="00A64FC4">
      <w:pPr>
        <w:rPr>
          <w:szCs w:val="22"/>
        </w:rPr>
      </w:pPr>
      <w:r w:rsidRPr="004203D4">
        <w:rPr>
          <w:szCs w:val="22"/>
        </w:rPr>
        <w:t>V žádném případě se nedotýkat prsty odkrytého hrotu!</w:t>
      </w:r>
    </w:p>
    <w:p w14:paraId="6466C9BD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5656565D" w14:textId="77777777" w:rsidR="00A64FC4" w:rsidRPr="004203D4" w:rsidRDefault="00A64FC4" w:rsidP="00A64FC4">
      <w:pPr>
        <w:pStyle w:val="Style1"/>
        <w:jc w:val="both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10.</w:t>
      </w:r>
      <w:r w:rsidRPr="004203D4">
        <w:rPr>
          <w:rFonts w:asciiTheme="majorBidi" w:hAnsiTheme="majorBidi" w:cstheme="majorBidi"/>
        </w:rPr>
        <w:tab/>
        <w:t>Ochranné lhůty</w:t>
      </w:r>
    </w:p>
    <w:p w14:paraId="5CA26FC5" w14:textId="47B18828" w:rsidR="00405911" w:rsidRPr="004203D4" w:rsidRDefault="00405911" w:rsidP="00A64FC4">
      <w:pPr>
        <w:tabs>
          <w:tab w:val="clear" w:pos="567"/>
        </w:tabs>
        <w:spacing w:line="240" w:lineRule="auto"/>
        <w:jc w:val="both"/>
      </w:pPr>
    </w:p>
    <w:p w14:paraId="1122AA70" w14:textId="362FD6D7" w:rsidR="00723039" w:rsidRPr="004203D4" w:rsidRDefault="00723039" w:rsidP="00723039">
      <w:pPr>
        <w:autoSpaceDE w:val="0"/>
        <w:autoSpaceDN w:val="0"/>
        <w:adjustRightInd w:val="0"/>
        <w:ind w:left="708" w:hanging="708"/>
        <w:jc w:val="both"/>
      </w:pPr>
      <w:r w:rsidRPr="004203D4">
        <w:t>Maso: 7 dní</w:t>
      </w:r>
    </w:p>
    <w:p w14:paraId="493C0D8B" w14:textId="6451B737" w:rsidR="00A64FC4" w:rsidRPr="004203D4" w:rsidRDefault="00405911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  <w:r w:rsidRPr="004203D4">
        <w:t>Mléko</w:t>
      </w:r>
      <w:r w:rsidR="00723039" w:rsidRPr="004203D4">
        <w:t>:</w:t>
      </w:r>
      <w:r w:rsidRPr="004203D4">
        <w:t xml:space="preserve"> 60 hodin (5 dojení)</w:t>
      </w:r>
    </w:p>
    <w:p w14:paraId="77BB21BE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iCs/>
          <w:szCs w:val="22"/>
        </w:rPr>
      </w:pPr>
    </w:p>
    <w:p w14:paraId="610A5E8C" w14:textId="77777777" w:rsidR="00A64FC4" w:rsidRPr="004203D4" w:rsidRDefault="00A64FC4" w:rsidP="00A64FC4">
      <w:pPr>
        <w:pStyle w:val="Style1"/>
        <w:jc w:val="both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11.</w:t>
      </w:r>
      <w:r w:rsidRPr="004203D4">
        <w:rPr>
          <w:rFonts w:asciiTheme="majorBidi" w:hAnsiTheme="majorBidi" w:cstheme="majorBidi"/>
        </w:rPr>
        <w:tab/>
        <w:t>Zvláštní opatření pro uchovávání</w:t>
      </w:r>
    </w:p>
    <w:p w14:paraId="65DA09AF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9681906" w14:textId="14F1B93E" w:rsidR="00924122" w:rsidRPr="004203D4" w:rsidRDefault="00924122" w:rsidP="00924122">
      <w:r w:rsidRPr="004203D4">
        <w:t>Uchovávejte mimo dohled a dosah dětí.</w:t>
      </w:r>
    </w:p>
    <w:p w14:paraId="6DA0448C" w14:textId="77777777" w:rsidR="00A64FC4" w:rsidRPr="004203D4" w:rsidRDefault="00A64FC4" w:rsidP="00A64FC4">
      <w:pPr>
        <w:ind w:right="-318"/>
      </w:pPr>
      <w:r w:rsidRPr="004203D4">
        <w:t xml:space="preserve">Uchovávejte při teplotě do 25 </w:t>
      </w:r>
      <w:r w:rsidRPr="004203D4">
        <w:sym w:font="Symbol" w:char="F0B0"/>
      </w:r>
      <w:r w:rsidRPr="004203D4">
        <w:t>C.</w:t>
      </w:r>
    </w:p>
    <w:p w14:paraId="7FE8E6D6" w14:textId="6B54F4D8" w:rsidR="00924122" w:rsidRPr="004203D4" w:rsidRDefault="00924122" w:rsidP="000731A2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4203D4">
        <w:rPr>
          <w:rFonts w:asciiTheme="majorBidi" w:hAnsiTheme="majorBidi" w:cstheme="majorBidi"/>
          <w:szCs w:val="22"/>
        </w:rPr>
        <w:t xml:space="preserve">Nepoužívejte tento veterinární léčivý přípravek po uplynutí doby použitelnosti uvedené na etiketě po Exp. </w:t>
      </w:r>
      <w:r w:rsidR="000731A2" w:rsidRPr="004203D4">
        <w:rPr>
          <w:rFonts w:asciiTheme="majorBidi" w:hAnsiTheme="majorBidi" w:cstheme="majorBidi"/>
          <w:szCs w:val="22"/>
        </w:rPr>
        <w:t>Doba použitelnosti končí posledním dnem v uvedeném měsíci.</w:t>
      </w:r>
    </w:p>
    <w:p w14:paraId="2BDB3B49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47E18D8" w14:textId="77777777" w:rsidR="00A64FC4" w:rsidRPr="004203D4" w:rsidRDefault="00A64FC4" w:rsidP="009D5122">
      <w:pPr>
        <w:pStyle w:val="Style1"/>
        <w:keepNext/>
        <w:jc w:val="both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12.</w:t>
      </w:r>
      <w:r w:rsidRPr="004203D4">
        <w:rPr>
          <w:rFonts w:asciiTheme="majorBidi" w:hAnsiTheme="majorBidi" w:cstheme="majorBidi"/>
        </w:rPr>
        <w:tab/>
        <w:t>Zvláštní opatření pro likvidaci</w:t>
      </w:r>
    </w:p>
    <w:p w14:paraId="448BC839" w14:textId="77777777" w:rsidR="00A64FC4" w:rsidRPr="004203D4" w:rsidRDefault="00A64FC4" w:rsidP="009D5122">
      <w:pPr>
        <w:keepNext/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7CA0B50C" w14:textId="4EE379C4" w:rsidR="0053347E" w:rsidRPr="004203D4" w:rsidRDefault="0053347E" w:rsidP="009D5122">
      <w:pPr>
        <w:tabs>
          <w:tab w:val="clear" w:pos="567"/>
        </w:tabs>
        <w:spacing w:line="240" w:lineRule="auto"/>
        <w:jc w:val="both"/>
      </w:pPr>
      <w:r w:rsidRPr="004203D4">
        <w:t>Léčivé přípravky se nesmí likvidovat prostřednictvím odpadní vody či domovního odpadu.</w:t>
      </w:r>
    </w:p>
    <w:p w14:paraId="07C320B5" w14:textId="77777777" w:rsidR="00264C64" w:rsidRPr="004203D4" w:rsidRDefault="00264C64" w:rsidP="009D512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E4B2B8" w14:textId="77777777" w:rsidR="0053347E" w:rsidRPr="004203D4" w:rsidRDefault="0053347E" w:rsidP="009D5122">
      <w:pPr>
        <w:spacing w:line="240" w:lineRule="auto"/>
        <w:jc w:val="both"/>
      </w:pPr>
      <w:r w:rsidRPr="004203D4">
        <w:t>Všechen nepoužitý veterinární léčivý přípravek nebo odpad, který pochází z tohoto přípravku, likvidujte odevzdáním v souladu s místními požadavky a platnými národními systémy sběru.</w:t>
      </w:r>
    </w:p>
    <w:p w14:paraId="22A9036E" w14:textId="4C1D9873" w:rsidR="0053347E" w:rsidRPr="004203D4" w:rsidRDefault="0053347E" w:rsidP="009D5122">
      <w:pPr>
        <w:spacing w:line="240" w:lineRule="auto"/>
        <w:jc w:val="both"/>
      </w:pPr>
      <w:r w:rsidRPr="004203D4">
        <w:t>Tato opatření napomáhají chránit životní prostředí.</w:t>
      </w:r>
    </w:p>
    <w:p w14:paraId="266E551C" w14:textId="77777777" w:rsidR="00827398" w:rsidRPr="004203D4" w:rsidRDefault="00827398" w:rsidP="009D5122">
      <w:pPr>
        <w:spacing w:line="240" w:lineRule="auto"/>
        <w:jc w:val="both"/>
      </w:pPr>
    </w:p>
    <w:p w14:paraId="05374161" w14:textId="77777777" w:rsidR="0053347E" w:rsidRPr="004203D4" w:rsidRDefault="0053347E" w:rsidP="009D5122">
      <w:pPr>
        <w:spacing w:line="240" w:lineRule="auto"/>
        <w:jc w:val="both"/>
        <w:rPr>
          <w:szCs w:val="22"/>
        </w:rPr>
      </w:pPr>
      <w:r w:rsidRPr="004203D4">
        <w:t>O možnostech likvidace nepotřebných léčivých přípravků se poraďte s vaším veterinárním lékařem nebo lékárníkem.</w:t>
      </w:r>
    </w:p>
    <w:p w14:paraId="726E40E7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bCs/>
          <w:szCs w:val="22"/>
          <w:highlight w:val="lightGray"/>
        </w:rPr>
      </w:pPr>
    </w:p>
    <w:p w14:paraId="0ABCD5F5" w14:textId="77777777" w:rsidR="00A64FC4" w:rsidRPr="004203D4" w:rsidRDefault="00A64FC4" w:rsidP="00A64FC4">
      <w:pPr>
        <w:pStyle w:val="Style1"/>
        <w:jc w:val="both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13.</w:t>
      </w:r>
      <w:r w:rsidRPr="004203D4">
        <w:rPr>
          <w:rFonts w:asciiTheme="majorBidi" w:hAnsiTheme="majorBidi" w:cstheme="majorBidi"/>
        </w:rPr>
        <w:tab/>
        <w:t>Klasifikace veterinárních léčivých přípravků</w:t>
      </w:r>
    </w:p>
    <w:p w14:paraId="0968CB2F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4477FE0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  <w:r w:rsidRPr="004203D4">
        <w:t>Veterinární léčivý přípravek je vydáván pouze na předpis.</w:t>
      </w:r>
    </w:p>
    <w:p w14:paraId="51610C31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131D8DA5" w14:textId="77777777" w:rsidR="00A64FC4" w:rsidRPr="004203D4" w:rsidRDefault="00A64FC4" w:rsidP="00A64FC4">
      <w:pPr>
        <w:pStyle w:val="Style1"/>
        <w:jc w:val="both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14.</w:t>
      </w:r>
      <w:r w:rsidRPr="004203D4">
        <w:rPr>
          <w:rFonts w:asciiTheme="majorBidi" w:hAnsiTheme="majorBidi" w:cstheme="majorBidi"/>
        </w:rPr>
        <w:tab/>
        <w:t>Registrační čísla a velikosti balení</w:t>
      </w:r>
    </w:p>
    <w:p w14:paraId="6FCF9E3F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7D04CA06" w14:textId="77777777" w:rsidR="00B6419A" w:rsidRPr="004203D4" w:rsidRDefault="00B6419A" w:rsidP="00B6419A">
      <w:pPr>
        <w:ind w:right="-318"/>
        <w:rPr>
          <w:caps/>
        </w:rPr>
      </w:pPr>
      <w:r w:rsidRPr="004203D4">
        <w:rPr>
          <w:caps/>
        </w:rPr>
        <w:t>96/255/91-C</w:t>
      </w:r>
    </w:p>
    <w:p w14:paraId="3BC74DB4" w14:textId="77777777" w:rsidR="00B6419A" w:rsidRPr="004203D4" w:rsidRDefault="00B6419A" w:rsidP="00B6419A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67FCC03D" w14:textId="3FCD5D0A" w:rsidR="00B6419A" w:rsidRPr="004203D4" w:rsidRDefault="00B6419A" w:rsidP="00B6419A">
      <w:pPr>
        <w:ind w:right="-476"/>
        <w:jc w:val="both"/>
        <w:rPr>
          <w:szCs w:val="22"/>
        </w:rPr>
      </w:pPr>
      <w:r w:rsidRPr="004203D4">
        <w:rPr>
          <w:szCs w:val="22"/>
        </w:rPr>
        <w:t xml:space="preserve">Bílý aplikátor </w:t>
      </w:r>
      <w:r w:rsidR="002A376D" w:rsidRPr="004203D4">
        <w:rPr>
          <w:szCs w:val="22"/>
        </w:rPr>
        <w:t xml:space="preserve">z nízkohustotního polyethylenu </w:t>
      </w:r>
      <w:r w:rsidRPr="004203D4">
        <w:rPr>
          <w:szCs w:val="22"/>
        </w:rPr>
        <w:t xml:space="preserve">s obsahem 4,5 ml (3 g) suspenze. Baleno v papírových </w:t>
      </w:r>
      <w:r w:rsidR="002A376D" w:rsidRPr="004203D4">
        <w:rPr>
          <w:szCs w:val="22"/>
        </w:rPr>
        <w:t>krabičkách</w:t>
      </w:r>
      <w:r w:rsidRPr="004203D4">
        <w:rPr>
          <w:szCs w:val="22"/>
        </w:rPr>
        <w:t xml:space="preserve"> po 12, 24, 30 nebo 72 aplikátorech.</w:t>
      </w:r>
    </w:p>
    <w:p w14:paraId="1B7AEFBA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szCs w:val="22"/>
        </w:rPr>
      </w:pPr>
    </w:p>
    <w:p w14:paraId="564B6D77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highlight w:val="lightGray"/>
        </w:rPr>
      </w:pPr>
      <w:r w:rsidRPr="004203D4">
        <w:t>Na trhu nemusí být všechny velikosti balení.</w:t>
      </w:r>
    </w:p>
    <w:p w14:paraId="26B33F3B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highlight w:val="lightGray"/>
        </w:rPr>
      </w:pPr>
    </w:p>
    <w:p w14:paraId="5FC69DE8" w14:textId="77777777" w:rsidR="00A64FC4" w:rsidRPr="004203D4" w:rsidRDefault="00A64FC4" w:rsidP="00A64FC4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  <w:bCs/>
        </w:rPr>
      </w:pPr>
      <w:r w:rsidRPr="004203D4">
        <w:rPr>
          <w:rFonts w:asciiTheme="majorBidi" w:hAnsiTheme="majorBidi" w:cstheme="majorBidi"/>
          <w:b/>
          <w:bCs/>
          <w:highlight w:val="lightGray"/>
        </w:rPr>
        <w:t>15.</w:t>
      </w:r>
      <w:r w:rsidRPr="004203D4">
        <w:rPr>
          <w:rFonts w:asciiTheme="majorBidi" w:hAnsiTheme="majorBidi" w:cstheme="majorBidi"/>
          <w:b/>
          <w:bCs/>
        </w:rPr>
        <w:tab/>
        <w:t>Datum poslední revize příbalové informace</w:t>
      </w:r>
    </w:p>
    <w:p w14:paraId="61A4BC06" w14:textId="77777777" w:rsidR="00A64FC4" w:rsidRPr="004203D4" w:rsidRDefault="00A64FC4" w:rsidP="00A64FC4">
      <w:pPr>
        <w:ind w:left="357" w:hanging="357"/>
        <w:jc w:val="both"/>
        <w:rPr>
          <w:rFonts w:asciiTheme="majorBidi" w:hAnsiTheme="majorBidi" w:cstheme="majorBidi"/>
          <w:szCs w:val="22"/>
        </w:rPr>
      </w:pPr>
    </w:p>
    <w:p w14:paraId="4F7B591D" w14:textId="44772A90" w:rsidR="00B6419A" w:rsidRPr="004203D4" w:rsidRDefault="00C93C7E" w:rsidP="00B6419A">
      <w:pPr>
        <w:tabs>
          <w:tab w:val="clear" w:pos="567"/>
        </w:tabs>
        <w:spacing w:line="240" w:lineRule="auto"/>
        <w:rPr>
          <w:szCs w:val="22"/>
        </w:rPr>
      </w:pPr>
      <w:r w:rsidRPr="004203D4">
        <w:t>Červenec 2024</w:t>
      </w:r>
    </w:p>
    <w:p w14:paraId="4A169C21" w14:textId="77777777" w:rsidR="00B6419A" w:rsidRPr="004203D4" w:rsidRDefault="00B6419A" w:rsidP="00B6419A">
      <w:pPr>
        <w:ind w:right="-1"/>
        <w:jc w:val="both"/>
      </w:pPr>
    </w:p>
    <w:p w14:paraId="60707BB9" w14:textId="77777777" w:rsidR="00B6419A" w:rsidRPr="004203D4" w:rsidRDefault="00B6419A" w:rsidP="00B6419A">
      <w:pPr>
        <w:ind w:right="-1"/>
        <w:jc w:val="both"/>
        <w:rPr>
          <w:i/>
          <w:szCs w:val="22"/>
        </w:rPr>
      </w:pPr>
      <w:r w:rsidRPr="004203D4">
        <w:t xml:space="preserve">Podrobné informace o tomto veterinárním léčivém přípravku jsou k dispozici v databázi přípravků Unie </w:t>
      </w:r>
      <w:r w:rsidRPr="004203D4">
        <w:rPr>
          <w:szCs w:val="22"/>
        </w:rPr>
        <w:t>(</w:t>
      </w:r>
      <w:hyperlink r:id="rId9" w:history="1">
        <w:r w:rsidRPr="004203D4">
          <w:rPr>
            <w:rStyle w:val="Hypertextovodkaz"/>
            <w:szCs w:val="22"/>
          </w:rPr>
          <w:t>https://medicines.health.europa.eu/veterinary</w:t>
        </w:r>
      </w:hyperlink>
      <w:r w:rsidRPr="004203D4">
        <w:rPr>
          <w:szCs w:val="22"/>
        </w:rPr>
        <w:t>)</w:t>
      </w:r>
      <w:r w:rsidRPr="004203D4">
        <w:rPr>
          <w:i/>
          <w:szCs w:val="22"/>
        </w:rPr>
        <w:t>.</w:t>
      </w:r>
    </w:p>
    <w:p w14:paraId="56474AF6" w14:textId="77777777" w:rsidR="00B6419A" w:rsidRPr="004203D4" w:rsidRDefault="00B6419A" w:rsidP="00B6419A">
      <w:pPr>
        <w:ind w:right="-1"/>
        <w:jc w:val="both"/>
        <w:rPr>
          <w:szCs w:val="22"/>
        </w:rPr>
      </w:pPr>
    </w:p>
    <w:p w14:paraId="0813A8A5" w14:textId="77777777" w:rsidR="00B6419A" w:rsidRPr="004203D4" w:rsidRDefault="00B6419A" w:rsidP="00B6419A">
      <w:pPr>
        <w:ind w:right="-1"/>
        <w:jc w:val="both"/>
        <w:rPr>
          <w:szCs w:val="22"/>
        </w:rPr>
      </w:pPr>
      <w:r w:rsidRPr="004203D4">
        <w:rPr>
          <w:szCs w:val="22"/>
        </w:rPr>
        <w:lastRenderedPageBreak/>
        <w:t>Podrobné informace o tomto veterinárním léčivém přípravku naleznete také v národní databázi (</w:t>
      </w:r>
      <w:hyperlink r:id="rId10" w:history="1">
        <w:r w:rsidRPr="004203D4">
          <w:rPr>
            <w:rStyle w:val="Hypertextovodkaz"/>
            <w:szCs w:val="22"/>
          </w:rPr>
          <w:t>https://www.uskvbl.cz</w:t>
        </w:r>
      </w:hyperlink>
      <w:r w:rsidRPr="004203D4">
        <w:rPr>
          <w:szCs w:val="22"/>
        </w:rPr>
        <w:t>).</w:t>
      </w:r>
    </w:p>
    <w:p w14:paraId="2768F55E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099E980" w14:textId="77777777" w:rsidR="00A64FC4" w:rsidRPr="004203D4" w:rsidRDefault="00A64FC4" w:rsidP="00A64FC4">
      <w:pPr>
        <w:pStyle w:val="Style1"/>
        <w:rPr>
          <w:rFonts w:asciiTheme="majorBidi" w:hAnsiTheme="majorBidi" w:cstheme="majorBidi"/>
        </w:rPr>
      </w:pPr>
      <w:r w:rsidRPr="004203D4">
        <w:rPr>
          <w:rFonts w:asciiTheme="majorBidi" w:hAnsiTheme="majorBidi" w:cstheme="majorBidi"/>
          <w:highlight w:val="lightGray"/>
        </w:rPr>
        <w:t>16.</w:t>
      </w:r>
      <w:r w:rsidRPr="004203D4">
        <w:rPr>
          <w:rFonts w:asciiTheme="majorBidi" w:hAnsiTheme="majorBidi" w:cstheme="majorBidi"/>
        </w:rPr>
        <w:tab/>
        <w:t>Kontaktní údaje</w:t>
      </w:r>
    </w:p>
    <w:p w14:paraId="2B9F7884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FDF2F75" w14:textId="77777777" w:rsidR="00A64FC4" w:rsidRPr="004203D4" w:rsidRDefault="00A64FC4" w:rsidP="00A64FC4">
      <w:pPr>
        <w:rPr>
          <w:iCs/>
          <w:szCs w:val="22"/>
        </w:rPr>
      </w:pPr>
      <w:bookmarkStart w:id="0" w:name="_Hlk73552578"/>
      <w:r w:rsidRPr="004203D4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4203D4">
        <w:t>:</w:t>
      </w:r>
    </w:p>
    <w:bookmarkEnd w:id="0"/>
    <w:p w14:paraId="502C4FC4" w14:textId="77777777" w:rsidR="00A64FC4" w:rsidRPr="004203D4" w:rsidRDefault="00A64FC4" w:rsidP="00A64FC4">
      <w:pPr>
        <w:rPr>
          <w:rFonts w:asciiTheme="majorBidi" w:hAnsiTheme="majorBidi" w:cstheme="majorBidi"/>
          <w:szCs w:val="22"/>
          <w:lang w:eastAsia="cs-CZ"/>
        </w:rPr>
      </w:pPr>
      <w:r w:rsidRPr="004203D4">
        <w:rPr>
          <w:rFonts w:asciiTheme="majorBidi" w:hAnsiTheme="majorBidi" w:cstheme="majorBidi"/>
          <w:szCs w:val="22"/>
          <w:lang w:eastAsia="cs-CZ"/>
        </w:rPr>
        <w:t>Zoetis Česká republika, s.r.o.</w:t>
      </w:r>
    </w:p>
    <w:p w14:paraId="4EFCF37F" w14:textId="77777777" w:rsidR="00A64FC4" w:rsidRPr="004203D4" w:rsidRDefault="00A64FC4" w:rsidP="00A64FC4">
      <w:pPr>
        <w:rPr>
          <w:rFonts w:asciiTheme="majorBidi" w:hAnsiTheme="majorBidi" w:cstheme="majorBidi"/>
          <w:szCs w:val="22"/>
          <w:lang w:eastAsia="cs-CZ"/>
        </w:rPr>
      </w:pPr>
      <w:r w:rsidRPr="004203D4">
        <w:rPr>
          <w:rFonts w:asciiTheme="majorBidi" w:hAnsiTheme="majorBidi" w:cstheme="majorBidi"/>
          <w:szCs w:val="22"/>
          <w:lang w:eastAsia="cs-CZ"/>
        </w:rPr>
        <w:t>náměstí 14. října 642/17</w:t>
      </w:r>
    </w:p>
    <w:p w14:paraId="591636D6" w14:textId="77777777" w:rsidR="00A64FC4" w:rsidRPr="004203D4" w:rsidRDefault="00A64FC4" w:rsidP="00A64FC4">
      <w:pPr>
        <w:rPr>
          <w:rFonts w:asciiTheme="majorBidi" w:hAnsiTheme="majorBidi" w:cstheme="majorBidi"/>
          <w:szCs w:val="22"/>
          <w:lang w:eastAsia="cs-CZ"/>
        </w:rPr>
      </w:pPr>
      <w:r w:rsidRPr="004203D4">
        <w:rPr>
          <w:rFonts w:asciiTheme="majorBidi" w:hAnsiTheme="majorBidi" w:cstheme="majorBidi"/>
          <w:szCs w:val="22"/>
          <w:lang w:eastAsia="cs-CZ"/>
        </w:rPr>
        <w:t>150 00 Praha 5</w:t>
      </w:r>
    </w:p>
    <w:p w14:paraId="44429891" w14:textId="77777777" w:rsidR="00A64FC4" w:rsidRPr="004203D4" w:rsidRDefault="00A64FC4" w:rsidP="00A64FC4">
      <w:pPr>
        <w:rPr>
          <w:rFonts w:asciiTheme="majorBidi" w:hAnsiTheme="majorBidi" w:cstheme="majorBidi"/>
          <w:szCs w:val="22"/>
          <w:lang w:eastAsia="cs-CZ"/>
        </w:rPr>
      </w:pPr>
      <w:r w:rsidRPr="004203D4">
        <w:rPr>
          <w:rFonts w:asciiTheme="majorBidi" w:hAnsiTheme="majorBidi" w:cstheme="majorBidi"/>
          <w:szCs w:val="22"/>
          <w:lang w:eastAsia="cs-CZ"/>
        </w:rPr>
        <w:t>Česká republika</w:t>
      </w:r>
    </w:p>
    <w:p w14:paraId="49E3D0EF" w14:textId="77777777" w:rsidR="00A64FC4" w:rsidRPr="004203D4" w:rsidRDefault="00A64FC4" w:rsidP="00A64FC4">
      <w:pPr>
        <w:rPr>
          <w:szCs w:val="22"/>
        </w:rPr>
      </w:pPr>
      <w:r w:rsidRPr="004203D4">
        <w:rPr>
          <w:szCs w:val="22"/>
        </w:rPr>
        <w:t>Tel.: +420 257 101 111</w:t>
      </w:r>
    </w:p>
    <w:p w14:paraId="43D34DFF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szCs w:val="22"/>
        </w:rPr>
      </w:pPr>
    </w:p>
    <w:p w14:paraId="1C63FC11" w14:textId="77777777" w:rsidR="00A64FC4" w:rsidRPr="004203D4" w:rsidRDefault="00A64FC4" w:rsidP="00A64FC4">
      <w:pPr>
        <w:rPr>
          <w:bCs/>
          <w:szCs w:val="22"/>
        </w:rPr>
      </w:pPr>
      <w:r w:rsidRPr="004203D4">
        <w:rPr>
          <w:bCs/>
          <w:szCs w:val="22"/>
          <w:u w:val="single"/>
        </w:rPr>
        <w:t>Výrobce odpovědný za uvolnění šarže</w:t>
      </w:r>
      <w:r w:rsidRPr="004203D4">
        <w:t>:</w:t>
      </w:r>
    </w:p>
    <w:p w14:paraId="42C9D624" w14:textId="77777777" w:rsidR="00A64FC4" w:rsidRPr="004203D4" w:rsidRDefault="00A64FC4" w:rsidP="00A64FC4">
      <w:pPr>
        <w:rPr>
          <w:iCs/>
          <w:szCs w:val="22"/>
        </w:rPr>
      </w:pPr>
      <w:r w:rsidRPr="004203D4">
        <w:rPr>
          <w:iCs/>
          <w:szCs w:val="22"/>
        </w:rPr>
        <w:t>Haupt Pharma Latina S.r.l.</w:t>
      </w:r>
    </w:p>
    <w:p w14:paraId="5429053C" w14:textId="77777777" w:rsidR="00A64FC4" w:rsidRPr="004203D4" w:rsidRDefault="00A64FC4" w:rsidP="00A64FC4">
      <w:pPr>
        <w:rPr>
          <w:iCs/>
          <w:szCs w:val="22"/>
        </w:rPr>
      </w:pPr>
      <w:r w:rsidRPr="004203D4">
        <w:rPr>
          <w:iCs/>
          <w:szCs w:val="22"/>
        </w:rPr>
        <w:t xml:space="preserve">Strada Statale 156 Dei Monti Lepini Km 47600 </w:t>
      </w:r>
    </w:p>
    <w:p w14:paraId="44BAA6B0" w14:textId="77777777" w:rsidR="00A64FC4" w:rsidRPr="004203D4" w:rsidRDefault="00A64FC4" w:rsidP="00A64FC4">
      <w:pPr>
        <w:rPr>
          <w:iCs/>
          <w:szCs w:val="22"/>
        </w:rPr>
      </w:pPr>
      <w:r w:rsidRPr="004203D4">
        <w:rPr>
          <w:iCs/>
          <w:szCs w:val="22"/>
        </w:rPr>
        <w:t>Latina</w:t>
      </w:r>
    </w:p>
    <w:p w14:paraId="47998A40" w14:textId="77777777" w:rsidR="00A64FC4" w:rsidRPr="004203D4" w:rsidRDefault="00A64FC4" w:rsidP="00A64FC4">
      <w:pPr>
        <w:rPr>
          <w:iCs/>
          <w:szCs w:val="22"/>
        </w:rPr>
      </w:pPr>
      <w:r w:rsidRPr="004203D4">
        <w:rPr>
          <w:iCs/>
          <w:szCs w:val="22"/>
        </w:rPr>
        <w:t>04100</w:t>
      </w:r>
    </w:p>
    <w:p w14:paraId="68598AB2" w14:textId="77777777" w:rsidR="00A64FC4" w:rsidRPr="004203D4" w:rsidRDefault="00A64FC4" w:rsidP="00A64FC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4203D4">
        <w:rPr>
          <w:iCs/>
          <w:szCs w:val="22"/>
        </w:rPr>
        <w:t>Itálie</w:t>
      </w:r>
    </w:p>
    <w:p w14:paraId="08F12C7F" w14:textId="77777777" w:rsidR="008831E3" w:rsidRPr="004203D4" w:rsidRDefault="008831E3" w:rsidP="00A06723">
      <w:pPr>
        <w:numPr>
          <w:ilvl w:val="12"/>
          <w:numId w:val="0"/>
        </w:numPr>
        <w:rPr>
          <w:szCs w:val="22"/>
        </w:rPr>
      </w:pPr>
      <w:bookmarkStart w:id="1" w:name="_GoBack"/>
      <w:bookmarkEnd w:id="1"/>
    </w:p>
    <w:sectPr w:rsidR="008831E3" w:rsidRPr="004203D4" w:rsidSect="003861DC"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134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39F97" w14:textId="77777777" w:rsidR="00385548" w:rsidRDefault="00385548">
      <w:pPr>
        <w:spacing w:line="240" w:lineRule="auto"/>
      </w:pPr>
      <w:r>
        <w:separator/>
      </w:r>
    </w:p>
  </w:endnote>
  <w:endnote w:type="continuationSeparator" w:id="0">
    <w:p w14:paraId="194A91AB" w14:textId="77777777" w:rsidR="00385548" w:rsidRDefault="00385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B6F5" w14:textId="77777777" w:rsidR="00302C73" w:rsidRDefault="00942D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A06723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B6F6" w14:textId="77777777" w:rsidR="00302C73" w:rsidRDefault="00942D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282C9" w14:textId="77777777" w:rsidR="00385548" w:rsidRDefault="00385548">
      <w:pPr>
        <w:spacing w:line="240" w:lineRule="auto"/>
      </w:pPr>
      <w:r>
        <w:separator/>
      </w:r>
    </w:p>
  </w:footnote>
  <w:footnote w:type="continuationSeparator" w:id="0">
    <w:p w14:paraId="4FFF85C1" w14:textId="77777777" w:rsidR="00385548" w:rsidRDefault="003855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302C73"/>
    <w:rsid w:val="00004492"/>
    <w:rsid w:val="00010496"/>
    <w:rsid w:val="000142FD"/>
    <w:rsid w:val="00017F3C"/>
    <w:rsid w:val="00020203"/>
    <w:rsid w:val="00041498"/>
    <w:rsid w:val="000719A3"/>
    <w:rsid w:val="00072D16"/>
    <w:rsid w:val="000731A2"/>
    <w:rsid w:val="00073869"/>
    <w:rsid w:val="000747BD"/>
    <w:rsid w:val="000853B7"/>
    <w:rsid w:val="00091ECC"/>
    <w:rsid w:val="000A18CC"/>
    <w:rsid w:val="000A5A73"/>
    <w:rsid w:val="000C35D5"/>
    <w:rsid w:val="000C3F0C"/>
    <w:rsid w:val="000C5A1E"/>
    <w:rsid w:val="000D2663"/>
    <w:rsid w:val="000D3747"/>
    <w:rsid w:val="000D3DF6"/>
    <w:rsid w:val="000D49FB"/>
    <w:rsid w:val="000E0C48"/>
    <w:rsid w:val="000F2A30"/>
    <w:rsid w:val="00115BB5"/>
    <w:rsid w:val="00123414"/>
    <w:rsid w:val="0013038B"/>
    <w:rsid w:val="00134163"/>
    <w:rsid w:val="001356B7"/>
    <w:rsid w:val="001420A2"/>
    <w:rsid w:val="00142651"/>
    <w:rsid w:val="00144C29"/>
    <w:rsid w:val="001507AB"/>
    <w:rsid w:val="00153CC6"/>
    <w:rsid w:val="00154A89"/>
    <w:rsid w:val="001612E9"/>
    <w:rsid w:val="00161702"/>
    <w:rsid w:val="00196A9A"/>
    <w:rsid w:val="001A26E4"/>
    <w:rsid w:val="001D2887"/>
    <w:rsid w:val="001E3A87"/>
    <w:rsid w:val="001E74CE"/>
    <w:rsid w:val="001E7DC2"/>
    <w:rsid w:val="001F4789"/>
    <w:rsid w:val="0020092F"/>
    <w:rsid w:val="002040FA"/>
    <w:rsid w:val="00211A8C"/>
    <w:rsid w:val="00214A8C"/>
    <w:rsid w:val="00222489"/>
    <w:rsid w:val="00225FFD"/>
    <w:rsid w:val="002304AF"/>
    <w:rsid w:val="00235773"/>
    <w:rsid w:val="00236484"/>
    <w:rsid w:val="002509A3"/>
    <w:rsid w:val="002513E6"/>
    <w:rsid w:val="002550CD"/>
    <w:rsid w:val="0025512F"/>
    <w:rsid w:val="002620E1"/>
    <w:rsid w:val="00264C64"/>
    <w:rsid w:val="00275EE8"/>
    <w:rsid w:val="00276BDB"/>
    <w:rsid w:val="00284189"/>
    <w:rsid w:val="00291242"/>
    <w:rsid w:val="00294EC5"/>
    <w:rsid w:val="002A376D"/>
    <w:rsid w:val="002A700C"/>
    <w:rsid w:val="002B3E68"/>
    <w:rsid w:val="002C0567"/>
    <w:rsid w:val="002D435C"/>
    <w:rsid w:val="002F4484"/>
    <w:rsid w:val="00302C73"/>
    <w:rsid w:val="00311A46"/>
    <w:rsid w:val="00312CA9"/>
    <w:rsid w:val="003142D8"/>
    <w:rsid w:val="00320241"/>
    <w:rsid w:val="00336619"/>
    <w:rsid w:val="00341B08"/>
    <w:rsid w:val="00344881"/>
    <w:rsid w:val="00351B03"/>
    <w:rsid w:val="00354DC4"/>
    <w:rsid w:val="00355C54"/>
    <w:rsid w:val="0036244E"/>
    <w:rsid w:val="003647B9"/>
    <w:rsid w:val="00365FAC"/>
    <w:rsid w:val="00370A5E"/>
    <w:rsid w:val="00374791"/>
    <w:rsid w:val="00380E50"/>
    <w:rsid w:val="00385548"/>
    <w:rsid w:val="003861DC"/>
    <w:rsid w:val="00386B6D"/>
    <w:rsid w:val="00392C48"/>
    <w:rsid w:val="00393171"/>
    <w:rsid w:val="0039622E"/>
    <w:rsid w:val="00396B6A"/>
    <w:rsid w:val="003A48E6"/>
    <w:rsid w:val="003A635E"/>
    <w:rsid w:val="003B21FA"/>
    <w:rsid w:val="003B5548"/>
    <w:rsid w:val="003B5B92"/>
    <w:rsid w:val="003C0A0F"/>
    <w:rsid w:val="003D2C41"/>
    <w:rsid w:val="003D70F6"/>
    <w:rsid w:val="003E11AE"/>
    <w:rsid w:val="003F1273"/>
    <w:rsid w:val="003F1A82"/>
    <w:rsid w:val="004027D3"/>
    <w:rsid w:val="00405911"/>
    <w:rsid w:val="00406B33"/>
    <w:rsid w:val="00416566"/>
    <w:rsid w:val="004203D4"/>
    <w:rsid w:val="004366F1"/>
    <w:rsid w:val="00441C74"/>
    <w:rsid w:val="00447447"/>
    <w:rsid w:val="00447735"/>
    <w:rsid w:val="004557A6"/>
    <w:rsid w:val="00456BB2"/>
    <w:rsid w:val="00472B84"/>
    <w:rsid w:val="00483ECF"/>
    <w:rsid w:val="0049351B"/>
    <w:rsid w:val="00497BB9"/>
    <w:rsid w:val="004A518D"/>
    <w:rsid w:val="004A581A"/>
    <w:rsid w:val="004B700A"/>
    <w:rsid w:val="004C18AF"/>
    <w:rsid w:val="004D38CF"/>
    <w:rsid w:val="004D3FCC"/>
    <w:rsid w:val="004D41A2"/>
    <w:rsid w:val="004E440C"/>
    <w:rsid w:val="004F2D5F"/>
    <w:rsid w:val="004F692F"/>
    <w:rsid w:val="00501D8D"/>
    <w:rsid w:val="00501D99"/>
    <w:rsid w:val="00515818"/>
    <w:rsid w:val="00515C13"/>
    <w:rsid w:val="00526B01"/>
    <w:rsid w:val="005277E3"/>
    <w:rsid w:val="0053347E"/>
    <w:rsid w:val="005463D9"/>
    <w:rsid w:val="00546E4C"/>
    <w:rsid w:val="00547ED2"/>
    <w:rsid w:val="0055193E"/>
    <w:rsid w:val="0055326B"/>
    <w:rsid w:val="005537D9"/>
    <w:rsid w:val="00561971"/>
    <w:rsid w:val="00565325"/>
    <w:rsid w:val="00576ED4"/>
    <w:rsid w:val="0058755A"/>
    <w:rsid w:val="00596914"/>
    <w:rsid w:val="00597006"/>
    <w:rsid w:val="005A1904"/>
    <w:rsid w:val="005B5D79"/>
    <w:rsid w:val="005E43A4"/>
    <w:rsid w:val="005F427C"/>
    <w:rsid w:val="005F5B35"/>
    <w:rsid w:val="0060105C"/>
    <w:rsid w:val="0060358B"/>
    <w:rsid w:val="00614A9A"/>
    <w:rsid w:val="00615295"/>
    <w:rsid w:val="00624501"/>
    <w:rsid w:val="0062589B"/>
    <w:rsid w:val="00631254"/>
    <w:rsid w:val="00636E19"/>
    <w:rsid w:val="00643A5E"/>
    <w:rsid w:val="0065317D"/>
    <w:rsid w:val="00655D4D"/>
    <w:rsid w:val="00657A01"/>
    <w:rsid w:val="006609DA"/>
    <w:rsid w:val="00665C87"/>
    <w:rsid w:val="00672540"/>
    <w:rsid w:val="00675188"/>
    <w:rsid w:val="006814E8"/>
    <w:rsid w:val="006845D6"/>
    <w:rsid w:val="006854C8"/>
    <w:rsid w:val="0069103C"/>
    <w:rsid w:val="00693433"/>
    <w:rsid w:val="006962DC"/>
    <w:rsid w:val="006A2623"/>
    <w:rsid w:val="006B1B23"/>
    <w:rsid w:val="006C1CBD"/>
    <w:rsid w:val="006C2110"/>
    <w:rsid w:val="006C638A"/>
    <w:rsid w:val="006E4F22"/>
    <w:rsid w:val="006F1DAC"/>
    <w:rsid w:val="006F69FE"/>
    <w:rsid w:val="00703DCD"/>
    <w:rsid w:val="00705E7E"/>
    <w:rsid w:val="0070607F"/>
    <w:rsid w:val="00713F5F"/>
    <w:rsid w:val="007142F3"/>
    <w:rsid w:val="0071672A"/>
    <w:rsid w:val="0072155F"/>
    <w:rsid w:val="007225F9"/>
    <w:rsid w:val="00723039"/>
    <w:rsid w:val="00726028"/>
    <w:rsid w:val="007412B1"/>
    <w:rsid w:val="0076152E"/>
    <w:rsid w:val="00762A29"/>
    <w:rsid w:val="00780191"/>
    <w:rsid w:val="0079153D"/>
    <w:rsid w:val="00796107"/>
    <w:rsid w:val="00797176"/>
    <w:rsid w:val="007A2075"/>
    <w:rsid w:val="007B0764"/>
    <w:rsid w:val="007B3E4F"/>
    <w:rsid w:val="007C1BF7"/>
    <w:rsid w:val="007C6863"/>
    <w:rsid w:val="007D26F1"/>
    <w:rsid w:val="007D5B59"/>
    <w:rsid w:val="007D606F"/>
    <w:rsid w:val="007D6BCE"/>
    <w:rsid w:val="007E2F77"/>
    <w:rsid w:val="007F3A82"/>
    <w:rsid w:val="008018D8"/>
    <w:rsid w:val="00810DAD"/>
    <w:rsid w:val="00810F3E"/>
    <w:rsid w:val="00812B60"/>
    <w:rsid w:val="00813669"/>
    <w:rsid w:val="00817A69"/>
    <w:rsid w:val="00821882"/>
    <w:rsid w:val="00827398"/>
    <w:rsid w:val="00827D0E"/>
    <w:rsid w:val="008615C1"/>
    <w:rsid w:val="00871C0B"/>
    <w:rsid w:val="00873AF1"/>
    <w:rsid w:val="008831E3"/>
    <w:rsid w:val="008834FF"/>
    <w:rsid w:val="008903DD"/>
    <w:rsid w:val="00893E45"/>
    <w:rsid w:val="00895409"/>
    <w:rsid w:val="008A1D4B"/>
    <w:rsid w:val="008A772B"/>
    <w:rsid w:val="008B6373"/>
    <w:rsid w:val="008B758C"/>
    <w:rsid w:val="008C60CC"/>
    <w:rsid w:val="008D2AE4"/>
    <w:rsid w:val="008D4B82"/>
    <w:rsid w:val="008D6419"/>
    <w:rsid w:val="008D705F"/>
    <w:rsid w:val="008E27F3"/>
    <w:rsid w:val="008E2C52"/>
    <w:rsid w:val="008F0FFF"/>
    <w:rsid w:val="008F453C"/>
    <w:rsid w:val="008F5CD6"/>
    <w:rsid w:val="0090734C"/>
    <w:rsid w:val="0091211E"/>
    <w:rsid w:val="00912316"/>
    <w:rsid w:val="00915611"/>
    <w:rsid w:val="0092069C"/>
    <w:rsid w:val="00924122"/>
    <w:rsid w:val="009409AD"/>
    <w:rsid w:val="00942D11"/>
    <w:rsid w:val="00943FEB"/>
    <w:rsid w:val="009550C6"/>
    <w:rsid w:val="009625DF"/>
    <w:rsid w:val="00963B90"/>
    <w:rsid w:val="009647A9"/>
    <w:rsid w:val="00970AE3"/>
    <w:rsid w:val="0098081D"/>
    <w:rsid w:val="0098319A"/>
    <w:rsid w:val="00993928"/>
    <w:rsid w:val="00997396"/>
    <w:rsid w:val="009A18D8"/>
    <w:rsid w:val="009A4AA0"/>
    <w:rsid w:val="009B7854"/>
    <w:rsid w:val="009C7B49"/>
    <w:rsid w:val="009D474F"/>
    <w:rsid w:val="009D5122"/>
    <w:rsid w:val="009E6C1B"/>
    <w:rsid w:val="00A03B3A"/>
    <w:rsid w:val="00A0553E"/>
    <w:rsid w:val="00A06723"/>
    <w:rsid w:val="00A07089"/>
    <w:rsid w:val="00A20606"/>
    <w:rsid w:val="00A20A15"/>
    <w:rsid w:val="00A21866"/>
    <w:rsid w:val="00A31443"/>
    <w:rsid w:val="00A3192D"/>
    <w:rsid w:val="00A3523D"/>
    <w:rsid w:val="00A4609B"/>
    <w:rsid w:val="00A509EB"/>
    <w:rsid w:val="00A64FC4"/>
    <w:rsid w:val="00A74916"/>
    <w:rsid w:val="00A969C7"/>
    <w:rsid w:val="00AA0965"/>
    <w:rsid w:val="00AA1407"/>
    <w:rsid w:val="00AA26EF"/>
    <w:rsid w:val="00AA4045"/>
    <w:rsid w:val="00AA6F8B"/>
    <w:rsid w:val="00AC6D47"/>
    <w:rsid w:val="00AD3B79"/>
    <w:rsid w:val="00AD536E"/>
    <w:rsid w:val="00B000CD"/>
    <w:rsid w:val="00B04DD3"/>
    <w:rsid w:val="00B16C89"/>
    <w:rsid w:val="00B252F0"/>
    <w:rsid w:val="00B40096"/>
    <w:rsid w:val="00B50AAF"/>
    <w:rsid w:val="00B53D73"/>
    <w:rsid w:val="00B544AB"/>
    <w:rsid w:val="00B544C5"/>
    <w:rsid w:val="00B6419A"/>
    <w:rsid w:val="00B65967"/>
    <w:rsid w:val="00B66178"/>
    <w:rsid w:val="00B67987"/>
    <w:rsid w:val="00B70E75"/>
    <w:rsid w:val="00B72A81"/>
    <w:rsid w:val="00B7680B"/>
    <w:rsid w:val="00B8068C"/>
    <w:rsid w:val="00B83745"/>
    <w:rsid w:val="00B9191D"/>
    <w:rsid w:val="00B93608"/>
    <w:rsid w:val="00B94A4A"/>
    <w:rsid w:val="00BA310B"/>
    <w:rsid w:val="00BB097D"/>
    <w:rsid w:val="00BB21F6"/>
    <w:rsid w:val="00BB691D"/>
    <w:rsid w:val="00BB75EE"/>
    <w:rsid w:val="00BC211B"/>
    <w:rsid w:val="00BC341A"/>
    <w:rsid w:val="00BC57F5"/>
    <w:rsid w:val="00BD6DDF"/>
    <w:rsid w:val="00BD79B9"/>
    <w:rsid w:val="00C06E9D"/>
    <w:rsid w:val="00C0730C"/>
    <w:rsid w:val="00C34020"/>
    <w:rsid w:val="00C342DA"/>
    <w:rsid w:val="00C36F53"/>
    <w:rsid w:val="00C42FBC"/>
    <w:rsid w:val="00C52026"/>
    <w:rsid w:val="00C53AB3"/>
    <w:rsid w:val="00C61A5F"/>
    <w:rsid w:val="00C62143"/>
    <w:rsid w:val="00C67874"/>
    <w:rsid w:val="00C71458"/>
    <w:rsid w:val="00C80BB0"/>
    <w:rsid w:val="00C817CB"/>
    <w:rsid w:val="00C81C1C"/>
    <w:rsid w:val="00C8681D"/>
    <w:rsid w:val="00C928DF"/>
    <w:rsid w:val="00C93C7E"/>
    <w:rsid w:val="00CA4529"/>
    <w:rsid w:val="00CA4A05"/>
    <w:rsid w:val="00CC1D80"/>
    <w:rsid w:val="00CC7725"/>
    <w:rsid w:val="00CD45A8"/>
    <w:rsid w:val="00CD6A48"/>
    <w:rsid w:val="00CE3A19"/>
    <w:rsid w:val="00CE77ED"/>
    <w:rsid w:val="00D004AA"/>
    <w:rsid w:val="00D0101F"/>
    <w:rsid w:val="00D02007"/>
    <w:rsid w:val="00D107BF"/>
    <w:rsid w:val="00D15C87"/>
    <w:rsid w:val="00D22E55"/>
    <w:rsid w:val="00D32223"/>
    <w:rsid w:val="00D34867"/>
    <w:rsid w:val="00D41AA1"/>
    <w:rsid w:val="00D427E7"/>
    <w:rsid w:val="00D47B7A"/>
    <w:rsid w:val="00D506CE"/>
    <w:rsid w:val="00D6181E"/>
    <w:rsid w:val="00D636F7"/>
    <w:rsid w:val="00D70B15"/>
    <w:rsid w:val="00D74B4F"/>
    <w:rsid w:val="00DA30B6"/>
    <w:rsid w:val="00DB0187"/>
    <w:rsid w:val="00DB3789"/>
    <w:rsid w:val="00DD3EF2"/>
    <w:rsid w:val="00DE4379"/>
    <w:rsid w:val="00DE49DD"/>
    <w:rsid w:val="00DF2F7B"/>
    <w:rsid w:val="00E06CC1"/>
    <w:rsid w:val="00E17106"/>
    <w:rsid w:val="00E2194D"/>
    <w:rsid w:val="00E40D0F"/>
    <w:rsid w:val="00E4391A"/>
    <w:rsid w:val="00E4459E"/>
    <w:rsid w:val="00E50884"/>
    <w:rsid w:val="00E5479B"/>
    <w:rsid w:val="00E6669A"/>
    <w:rsid w:val="00E7083C"/>
    <w:rsid w:val="00E73027"/>
    <w:rsid w:val="00E73C24"/>
    <w:rsid w:val="00E756D7"/>
    <w:rsid w:val="00E85417"/>
    <w:rsid w:val="00E87AFC"/>
    <w:rsid w:val="00E91974"/>
    <w:rsid w:val="00EA645F"/>
    <w:rsid w:val="00EA6604"/>
    <w:rsid w:val="00ED5A44"/>
    <w:rsid w:val="00EE0F03"/>
    <w:rsid w:val="00EE4D59"/>
    <w:rsid w:val="00F01570"/>
    <w:rsid w:val="00F04FFE"/>
    <w:rsid w:val="00F1058C"/>
    <w:rsid w:val="00F17308"/>
    <w:rsid w:val="00F22EA0"/>
    <w:rsid w:val="00F370B4"/>
    <w:rsid w:val="00F41F69"/>
    <w:rsid w:val="00F42A71"/>
    <w:rsid w:val="00F70CEC"/>
    <w:rsid w:val="00F8379A"/>
    <w:rsid w:val="00F87671"/>
    <w:rsid w:val="00F90E7C"/>
    <w:rsid w:val="00F972D0"/>
    <w:rsid w:val="00FA526A"/>
    <w:rsid w:val="00FB75B9"/>
    <w:rsid w:val="00FD4B9F"/>
    <w:rsid w:val="00FD6164"/>
    <w:rsid w:val="00FD66A7"/>
    <w:rsid w:val="00FE3304"/>
    <w:rsid w:val="00FF1CC2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E2B4C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DE4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E0F6-9D78-4973-9C61-020DAA52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977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31</cp:revision>
  <cp:lastPrinted>2022-09-21T11:53:00Z</cp:lastPrinted>
  <dcterms:created xsi:type="dcterms:W3CDTF">2024-03-27T12:50:00Z</dcterms:created>
  <dcterms:modified xsi:type="dcterms:W3CDTF">2024-07-23T15:49:00Z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