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CDCFE" w14:textId="49E21E15" w:rsidR="00022A92" w:rsidRPr="008C4BFF" w:rsidRDefault="00022A92" w:rsidP="00DD3871">
      <w:pPr>
        <w:spacing w:before="30"/>
        <w:ind w:right="-3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4BFF">
        <w:rPr>
          <w:rFonts w:asciiTheme="minorHAnsi" w:hAnsiTheme="minorHAnsi" w:cstheme="minorHAnsi"/>
          <w:b/>
          <w:i/>
          <w:sz w:val="28"/>
          <w:szCs w:val="28"/>
        </w:rPr>
        <w:t xml:space="preserve">SPEED </w:t>
      </w:r>
      <w:r w:rsidRPr="008C4BFF">
        <w:rPr>
          <w:rFonts w:asciiTheme="minorHAnsi" w:hAnsiTheme="minorHAnsi" w:cstheme="minorHAnsi"/>
          <w:b/>
          <w:sz w:val="28"/>
          <w:szCs w:val="28"/>
        </w:rPr>
        <w:t>CPSE</w:t>
      </w:r>
    </w:p>
    <w:p w14:paraId="4F1C249C" w14:textId="65357094" w:rsidR="00DF49FC" w:rsidRPr="008C4BFF" w:rsidRDefault="002814B0" w:rsidP="00DD3871">
      <w:pPr>
        <w:spacing w:before="30"/>
        <w:ind w:right="-37"/>
        <w:jc w:val="center"/>
        <w:rPr>
          <w:rFonts w:asciiTheme="minorHAnsi" w:hAnsiTheme="minorHAnsi" w:cstheme="minorHAnsi"/>
          <w:b/>
        </w:rPr>
      </w:pPr>
      <w:r w:rsidRPr="008C4BFF">
        <w:rPr>
          <w:rFonts w:asciiTheme="minorHAnsi" w:hAnsiTheme="minorHAnsi" w:cstheme="minorHAnsi"/>
          <w:b/>
        </w:rPr>
        <w:t>Veterinární diagnostický test</w:t>
      </w:r>
      <w:r w:rsidRPr="008C4BFF">
        <w:rPr>
          <w:rFonts w:asciiTheme="minorHAnsi" w:hAnsiTheme="minorHAnsi" w:cstheme="minorHAnsi"/>
          <w:b/>
        </w:rPr>
        <w:br/>
        <w:t xml:space="preserve">Pouze pro použití </w:t>
      </w:r>
      <w:r w:rsidRPr="008C4BFF">
        <w:rPr>
          <w:rFonts w:asciiTheme="minorHAnsi" w:hAnsiTheme="minorHAnsi" w:cstheme="minorHAnsi"/>
          <w:b/>
          <w:i/>
        </w:rPr>
        <w:t>in vitro</w:t>
      </w:r>
    </w:p>
    <w:p w14:paraId="05B5435A" w14:textId="0AE16A96" w:rsidR="00DF49FC" w:rsidRPr="008C4BFF" w:rsidRDefault="002814B0" w:rsidP="003B4650">
      <w:pPr>
        <w:pStyle w:val="Zkladntext"/>
        <w:spacing w:before="132"/>
        <w:ind w:left="123" w:right="114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Fluorescenční imunotest pro kvantitativní měření specifické prostatické esterázy u psů (CPSE) ve</w:t>
      </w:r>
      <w:r w:rsidR="00A41FA0" w:rsidRPr="008C4BFF">
        <w:rPr>
          <w:rFonts w:asciiTheme="minorHAnsi" w:hAnsiTheme="minorHAnsi" w:cstheme="minorHAnsi"/>
          <w:sz w:val="22"/>
          <w:szCs w:val="22"/>
        </w:rPr>
        <w:t> </w:t>
      </w:r>
      <w:r w:rsidRPr="008C4BFF">
        <w:rPr>
          <w:rFonts w:asciiTheme="minorHAnsi" w:hAnsiTheme="minorHAnsi" w:cstheme="minorHAnsi"/>
          <w:sz w:val="22"/>
          <w:szCs w:val="22"/>
        </w:rPr>
        <w:t>vzorcích séra nebo plazmy psů.</w:t>
      </w:r>
    </w:p>
    <w:p w14:paraId="15E57C89" w14:textId="77777777" w:rsidR="00DF49FC" w:rsidRPr="008C4BFF" w:rsidRDefault="002814B0" w:rsidP="003B4650">
      <w:pPr>
        <w:pStyle w:val="Nadpis11"/>
        <w:numPr>
          <w:ilvl w:val="0"/>
          <w:numId w:val="3"/>
        </w:numPr>
        <w:spacing w:before="127" w:line="240" w:lineRule="auto"/>
        <w:ind w:left="284" w:hanging="161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KLINICKÉ POUŽITÍ</w:t>
      </w:r>
    </w:p>
    <w:p w14:paraId="1FE74706" w14:textId="77777777" w:rsidR="00DF49FC" w:rsidRPr="008C4BFF" w:rsidRDefault="002814B0" w:rsidP="003B4650">
      <w:pPr>
        <w:pStyle w:val="Zkladntext"/>
        <w:spacing w:before="26"/>
        <w:ind w:left="123" w:right="293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Benigní hyperplazie prostaty (BPH) je jednou z nejčastějších onemocnění prostaty u psů. Vyznačuje se proliferací (hyperplazií) a zvětšením (hypertrofií) prostatických buněk. Tyto strukturální změny vedou ke zvýšení hladiny specifické prostatické esterázy u psů (CPSE), což je enzym vylučovaný prostatou.</w:t>
      </w:r>
    </w:p>
    <w:p w14:paraId="069C6DF3" w14:textId="77777777" w:rsidR="00DF49FC" w:rsidRPr="008C4BFF" w:rsidRDefault="002814B0" w:rsidP="003B4650">
      <w:pPr>
        <w:pStyle w:val="Nadpis11"/>
        <w:numPr>
          <w:ilvl w:val="0"/>
          <w:numId w:val="3"/>
        </w:numPr>
        <w:spacing w:before="127" w:line="240" w:lineRule="auto"/>
        <w:ind w:left="284" w:hanging="161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PRINCIP</w:t>
      </w:r>
    </w:p>
    <w:p w14:paraId="3A32C2AB" w14:textId="3D3B9F60" w:rsidR="00DF49FC" w:rsidRPr="008C4BFF" w:rsidRDefault="002814B0" w:rsidP="003B4650">
      <w:pPr>
        <w:pStyle w:val="Zkladntext"/>
        <w:spacing w:before="26"/>
        <w:ind w:left="123" w:right="304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Test Speed CPSE je rychlý imunochromatografický kvantitativní test, který měří hladinu CPSE v</w:t>
      </w:r>
      <w:r w:rsidR="00A41FA0" w:rsidRPr="008C4BFF">
        <w:rPr>
          <w:rFonts w:asciiTheme="minorHAnsi" w:hAnsiTheme="minorHAnsi" w:cstheme="minorHAnsi"/>
          <w:sz w:val="22"/>
          <w:szCs w:val="22"/>
        </w:rPr>
        <w:t> </w:t>
      </w:r>
      <w:r w:rsidRPr="008C4BFF">
        <w:rPr>
          <w:rFonts w:asciiTheme="minorHAnsi" w:hAnsiTheme="minorHAnsi" w:cstheme="minorHAnsi"/>
          <w:sz w:val="22"/>
          <w:szCs w:val="22"/>
        </w:rPr>
        <w:t>krevním oběhu pomocí analýzy založené na laserem indukované fluorescenci.</w:t>
      </w:r>
    </w:p>
    <w:p w14:paraId="4862E739" w14:textId="77777777" w:rsidR="00DF49FC" w:rsidRPr="008C4BFF" w:rsidRDefault="002814B0" w:rsidP="003B4650">
      <w:pPr>
        <w:pStyle w:val="Nadpis11"/>
        <w:numPr>
          <w:ilvl w:val="0"/>
          <w:numId w:val="3"/>
        </w:numPr>
        <w:spacing w:before="127" w:line="240" w:lineRule="auto"/>
        <w:ind w:left="284" w:hanging="161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UPOZORNĚNÍ A VAROVÁNÍ</w:t>
      </w:r>
    </w:p>
    <w:p w14:paraId="154D4C07" w14:textId="77777777" w:rsidR="00DF49FC" w:rsidRPr="008C4BFF" w:rsidRDefault="002814B0" w:rsidP="003B4650">
      <w:pPr>
        <w:pStyle w:val="Zkladntext"/>
        <w:ind w:left="123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Test mohou používat pouze veterinární lékaři.</w:t>
      </w:r>
    </w:p>
    <w:p w14:paraId="516A659C" w14:textId="77777777" w:rsidR="00DF49FC" w:rsidRPr="008C4BFF" w:rsidRDefault="002814B0" w:rsidP="003B4650">
      <w:pPr>
        <w:pStyle w:val="Nadpis11"/>
        <w:spacing w:before="135" w:line="240" w:lineRule="auto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  <w:u w:val="single" w:color="2F2F81"/>
        </w:rPr>
        <w:t>VZOREK</w:t>
      </w:r>
    </w:p>
    <w:p w14:paraId="79C8ECEE" w14:textId="77777777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ind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 xml:space="preserve">Použijte pouze vzorky </w:t>
      </w:r>
      <w:r w:rsidRPr="008C4BFF">
        <w:rPr>
          <w:rFonts w:asciiTheme="minorHAnsi" w:hAnsiTheme="minorHAnsi" w:cstheme="minorHAnsi"/>
          <w:b/>
        </w:rPr>
        <w:t>séra nebo plazmy</w:t>
      </w:r>
      <w:r w:rsidRPr="008C4BFF">
        <w:rPr>
          <w:rFonts w:asciiTheme="minorHAnsi" w:hAnsiTheme="minorHAnsi" w:cstheme="minorHAnsi"/>
        </w:rPr>
        <w:t xml:space="preserve"> (Heparin-Li). Nepoužívejte plnou krev nebo vzorky s EDTA.</w:t>
      </w:r>
    </w:p>
    <w:p w14:paraId="2C366FCE" w14:textId="77777777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Nebyly pozorovány případy interference s hemolýzou nebo hyperlipémií.</w:t>
      </w:r>
    </w:p>
    <w:p w14:paraId="3F6C09BA" w14:textId="77777777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Pokud test není proveden do 60 minut, přeneste sérum nebo plazmu do suché zkumavky.</w:t>
      </w:r>
    </w:p>
    <w:p w14:paraId="2EBE00E2" w14:textId="77777777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Vzorky mohou být uchovávány v chladničce (+2 °C až +8 °C) po dobu až 24 hodin.</w:t>
      </w:r>
    </w:p>
    <w:p w14:paraId="4A34AF8C" w14:textId="77777777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Má-li být vzorek séra nebo plazmy testován za více než 24 hodin, je třeba jej uchovávat v mrazničce (-20 °C).</w:t>
      </w:r>
    </w:p>
    <w:p w14:paraId="623F78B5" w14:textId="3955B393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spacing w:before="23"/>
        <w:ind w:right="454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Vzorky, které byly uchovávány v chladničce nebo mrazničce, nechte před analýzou ohřát na</w:t>
      </w:r>
      <w:r w:rsidR="00A41FA0" w:rsidRPr="008C4BFF">
        <w:rPr>
          <w:rFonts w:asciiTheme="minorHAnsi" w:hAnsiTheme="minorHAnsi" w:cstheme="minorHAnsi"/>
        </w:rPr>
        <w:t> </w:t>
      </w:r>
      <w:r w:rsidRPr="008C4BFF">
        <w:rPr>
          <w:rFonts w:asciiTheme="minorHAnsi" w:hAnsiTheme="minorHAnsi" w:cstheme="minorHAnsi"/>
        </w:rPr>
        <w:t>pokojovou teplotu (18 °C až 27 °C) a odstřeďte je.</w:t>
      </w:r>
    </w:p>
    <w:p w14:paraId="38069258" w14:textId="78EC1776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ind w:right="517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Pokud vzorek obsahuje fibrinová vlákna, může dojít k ucpání pipety, což může vést ke snížení objemu aspirovaného vzorku. To může nežádoucím způsobem ovlivnit výsledek analýzy. V</w:t>
      </w:r>
      <w:r w:rsidR="00A41FA0" w:rsidRPr="008C4BFF">
        <w:rPr>
          <w:rFonts w:asciiTheme="minorHAnsi" w:hAnsiTheme="minorHAnsi" w:cstheme="minorHAnsi"/>
        </w:rPr>
        <w:t> </w:t>
      </w:r>
      <w:r w:rsidRPr="008C4BFF">
        <w:rPr>
          <w:rFonts w:asciiTheme="minorHAnsi" w:hAnsiTheme="minorHAnsi" w:cstheme="minorHAnsi"/>
        </w:rPr>
        <w:t>takovém případě je nutné vzorek opětovně odstředit.</w:t>
      </w:r>
    </w:p>
    <w:p w14:paraId="6F290498" w14:textId="77777777" w:rsidR="00DF49FC" w:rsidRPr="008C4BFF" w:rsidRDefault="00DF49FC" w:rsidP="003B4650">
      <w:pPr>
        <w:pStyle w:val="Zkladntext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13A23821" w14:textId="77777777" w:rsidR="00DF49FC" w:rsidRPr="008C4BFF" w:rsidRDefault="002814B0" w:rsidP="003B465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  <w:u w:val="single" w:color="2F2F81"/>
        </w:rPr>
        <w:t>SPRÁVNÉ POUŽITÍ PIPETY</w:t>
      </w:r>
    </w:p>
    <w:p w14:paraId="514FF5AC" w14:textId="6A7F8699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spacing w:before="27"/>
        <w:ind w:right="210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Pro zajištění správného objemu vzorku je nezbytné držet pipetu i zkumavky se vzorkem a</w:t>
      </w:r>
      <w:r w:rsidR="00A41FA0" w:rsidRPr="008C4BFF">
        <w:rPr>
          <w:rFonts w:asciiTheme="minorHAnsi" w:hAnsiTheme="minorHAnsi" w:cstheme="minorHAnsi"/>
        </w:rPr>
        <w:t> </w:t>
      </w:r>
      <w:r w:rsidRPr="008C4BFF">
        <w:rPr>
          <w:rFonts w:asciiTheme="minorHAnsi" w:hAnsiTheme="minorHAnsi" w:cstheme="minorHAnsi"/>
        </w:rPr>
        <w:t>reagentem ve svislé poloze.</w:t>
      </w:r>
    </w:p>
    <w:p w14:paraId="03909D5B" w14:textId="77777777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Pro každý test použijte novou jednorázovou špičku pipety.</w:t>
      </w:r>
    </w:p>
    <w:p w14:paraId="5DF165AD" w14:textId="067D8D59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spacing w:before="23"/>
        <w:ind w:right="251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Stiskněte a držte nasávací tlačítko pipety a ponořte špičku pipety do vzorku. Dbejte na to, abyste</w:t>
      </w:r>
      <w:r w:rsidR="00A41FA0" w:rsidRPr="008C4BFF">
        <w:rPr>
          <w:rFonts w:asciiTheme="minorHAnsi" w:hAnsiTheme="minorHAnsi" w:cstheme="minorHAnsi"/>
        </w:rPr>
        <w:t> </w:t>
      </w:r>
      <w:r w:rsidRPr="008C4BFF">
        <w:rPr>
          <w:rFonts w:asciiTheme="minorHAnsi" w:hAnsiTheme="minorHAnsi" w:cstheme="minorHAnsi"/>
        </w:rPr>
        <w:t>se nedotkli stěn zkumavky. Pomalu uvolněte tlačítko pipety a konec špičky pipety nechte ponořený ve vzorku.</w:t>
      </w:r>
    </w:p>
    <w:p w14:paraId="10D691D7" w14:textId="542E881D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ind w:right="493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Vytáhněte pipetu ze vzorku a zkontrolujte, zda ve špičce nejsou vzduchové bubliny. Pokud</w:t>
      </w:r>
      <w:r w:rsidR="00A41FA0" w:rsidRPr="008C4BFF">
        <w:rPr>
          <w:rFonts w:asciiTheme="minorHAnsi" w:hAnsiTheme="minorHAnsi" w:cstheme="minorHAnsi"/>
        </w:rPr>
        <w:t> </w:t>
      </w:r>
      <w:r w:rsidRPr="008C4BFF">
        <w:rPr>
          <w:rFonts w:asciiTheme="minorHAnsi" w:hAnsiTheme="minorHAnsi" w:cstheme="minorHAnsi"/>
        </w:rPr>
        <w:t>v</w:t>
      </w:r>
      <w:r w:rsidR="00A41FA0" w:rsidRPr="008C4BFF">
        <w:rPr>
          <w:rFonts w:asciiTheme="minorHAnsi" w:hAnsiTheme="minorHAnsi" w:cstheme="minorHAnsi"/>
        </w:rPr>
        <w:t> </w:t>
      </w:r>
      <w:r w:rsidRPr="008C4BFF">
        <w:rPr>
          <w:rFonts w:asciiTheme="minorHAnsi" w:hAnsiTheme="minorHAnsi" w:cstheme="minorHAnsi"/>
        </w:rPr>
        <w:t>roztoku vzduchové bubliny jsou, vzorek zlikvidujte a celý postup opakujte.</w:t>
      </w:r>
    </w:p>
    <w:p w14:paraId="12A59F7A" w14:textId="77777777" w:rsidR="00DF49FC" w:rsidRPr="008C4BFF" w:rsidRDefault="00DF49FC" w:rsidP="003B4650">
      <w:pPr>
        <w:pStyle w:val="Zkladntext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76E3D1E6" w14:textId="77777777" w:rsidR="00DF49FC" w:rsidRPr="008C4BFF" w:rsidRDefault="002814B0" w:rsidP="003B465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  <w:u w:val="single" w:color="2F2F81"/>
        </w:rPr>
        <w:t>SMĚS VZORKU A REAGENTU</w:t>
      </w:r>
    </w:p>
    <w:p w14:paraId="1CF868CE" w14:textId="77777777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Pro zajištění odpovídající migrace částic ve vzorku musí testovací kazeta ležet na vodorovném povrchu.</w:t>
      </w:r>
    </w:p>
    <w:p w14:paraId="00D9713E" w14:textId="77777777" w:rsidR="00DF49FC" w:rsidRPr="008C4BFF" w:rsidRDefault="002814B0" w:rsidP="003B4650">
      <w:pPr>
        <w:pStyle w:val="Odstavecseseznamem"/>
        <w:numPr>
          <w:ilvl w:val="0"/>
          <w:numId w:val="2"/>
        </w:numPr>
        <w:tabs>
          <w:tab w:val="left" w:pos="193"/>
        </w:tabs>
        <w:spacing w:before="23"/>
        <w:ind w:right="215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Reagenční zkumavka obsahuje standardní objem reagentu. Jakákoli odchylka od standardního objemu může vést k chybným výsledkům testu.</w:t>
      </w:r>
    </w:p>
    <w:p w14:paraId="30DA1929" w14:textId="77777777" w:rsidR="00DF49FC" w:rsidRPr="008C4BFF" w:rsidRDefault="002814B0" w:rsidP="003B4650">
      <w:pPr>
        <w:pStyle w:val="Nadpis11"/>
        <w:spacing w:before="5" w:line="240" w:lineRule="auto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- Směs vzorku a činidla použijte bezprostředně po rekonstituci.</w:t>
      </w:r>
    </w:p>
    <w:p w14:paraId="3A04183B" w14:textId="456F19C3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Neuchovávejte směs pro pozdější analýzu.</w:t>
      </w:r>
    </w:p>
    <w:p w14:paraId="523C2BE0" w14:textId="77777777" w:rsidR="003A3559" w:rsidRPr="008C4BFF" w:rsidRDefault="003A3559" w:rsidP="003A3559">
      <w:pPr>
        <w:pStyle w:val="Odstavecseseznamem"/>
        <w:tabs>
          <w:tab w:val="left" w:pos="193"/>
        </w:tabs>
        <w:ind w:left="124" w:firstLine="0"/>
        <w:rPr>
          <w:rFonts w:asciiTheme="minorHAnsi" w:hAnsiTheme="minorHAnsi" w:cstheme="minorHAnsi"/>
        </w:rPr>
      </w:pPr>
    </w:p>
    <w:p w14:paraId="4A2268B6" w14:textId="77777777" w:rsidR="00DF49FC" w:rsidRPr="008C4BFF" w:rsidRDefault="002814B0" w:rsidP="003B4650">
      <w:pPr>
        <w:pStyle w:val="Nadpis11"/>
        <w:numPr>
          <w:ilvl w:val="0"/>
          <w:numId w:val="3"/>
        </w:numPr>
        <w:spacing w:before="127" w:line="240" w:lineRule="auto"/>
        <w:ind w:left="284" w:hanging="161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lastRenderedPageBreak/>
        <w:t>DOPORUČENÍ</w:t>
      </w:r>
    </w:p>
    <w:p w14:paraId="2517E509" w14:textId="68698A09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Před použitím prvního testu z každého balení (krabičky) zaregistrujte v analyzátoru Speed Reader čip pro kalibraci šarže.</w:t>
      </w:r>
    </w:p>
    <w:p w14:paraId="20BA58B9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Doba použitelnosti je uvedena na balení a na každém sáčku s testem.</w:t>
      </w:r>
    </w:p>
    <w:p w14:paraId="27EA6B81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Testy a reagenty uchovávejte při teplotě od +2 °C do +8 °C.</w:t>
      </w:r>
    </w:p>
    <w:p w14:paraId="672AF37A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spacing w:before="23"/>
        <w:ind w:right="292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Vzorek a veškeré materiály použité při testování je třeba považovat za potenciálně infekční. Jako takové musí být zlikvidovány v souladu s místními předpisy.</w:t>
      </w:r>
    </w:p>
    <w:p w14:paraId="75CB7153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Používejte vhodné a čisté ochranné prostředky (rukavice a plášť).</w:t>
      </w:r>
    </w:p>
    <w:p w14:paraId="18C76D79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spacing w:before="23"/>
        <w:ind w:right="129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V případě potřísnění pokožky nebo zasažení očí reagentem postižené místo neprodleně opláchněte čistou vodou a vyhledejte lékařskou pomoc.</w:t>
      </w:r>
    </w:p>
    <w:p w14:paraId="35BF7939" w14:textId="77777777" w:rsidR="00DF49FC" w:rsidRPr="008C4BFF" w:rsidRDefault="002814B0" w:rsidP="003B4650">
      <w:pPr>
        <w:pStyle w:val="Nadpis11"/>
        <w:numPr>
          <w:ilvl w:val="0"/>
          <w:numId w:val="3"/>
        </w:numPr>
        <w:spacing w:before="127" w:line="240" w:lineRule="auto"/>
        <w:ind w:left="284" w:hanging="161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POSTUP TESTOVÁNÍ</w:t>
      </w:r>
    </w:p>
    <w:p w14:paraId="0D9A5760" w14:textId="1C330616" w:rsidR="00DF49FC" w:rsidRPr="008C4BFF" w:rsidRDefault="002814B0" w:rsidP="003B4650">
      <w:pPr>
        <w:pStyle w:val="Zkladntext"/>
        <w:spacing w:before="26"/>
        <w:ind w:left="123" w:right="114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Jelikož test Speed CPSE nelze odečítat vizuálně, je nutné jej interpretovat výhradně prostřednictvím analyzátoru Speed Reader. Podrobné pokyny naleznete v návodu k použití přístroje Speed Reader.</w:t>
      </w:r>
    </w:p>
    <w:p w14:paraId="7516C547" w14:textId="77777777" w:rsidR="00DF49FC" w:rsidRPr="008C4BFF" w:rsidRDefault="002814B0" w:rsidP="003B4650">
      <w:pPr>
        <w:pStyle w:val="Nadpis11"/>
        <w:numPr>
          <w:ilvl w:val="0"/>
          <w:numId w:val="1"/>
        </w:numPr>
        <w:tabs>
          <w:tab w:val="left" w:pos="193"/>
        </w:tabs>
        <w:spacing w:before="80" w:line="240" w:lineRule="auto"/>
        <w:ind w:left="192" w:hanging="68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Nepoužívejte testovací kazety, reagenční zkumavky a kalibrační čipy různých šarží.</w:t>
      </w:r>
    </w:p>
    <w:p w14:paraId="059B38F8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  <w:b/>
        </w:rPr>
      </w:pPr>
      <w:r w:rsidRPr="008C4BFF">
        <w:rPr>
          <w:rFonts w:asciiTheme="minorHAnsi" w:hAnsiTheme="minorHAnsi" w:cstheme="minorHAnsi"/>
        </w:rPr>
        <w:t xml:space="preserve">Reagent a testovací kazeta musí být </w:t>
      </w:r>
      <w:r w:rsidRPr="008C4BFF">
        <w:rPr>
          <w:rFonts w:asciiTheme="minorHAnsi" w:hAnsiTheme="minorHAnsi" w:cstheme="minorHAnsi"/>
          <w:b/>
        </w:rPr>
        <w:t>nejméně 30 minut před použitím</w:t>
      </w:r>
      <w:r w:rsidRPr="008C4BFF">
        <w:rPr>
          <w:rFonts w:asciiTheme="minorHAnsi" w:hAnsiTheme="minorHAnsi" w:cstheme="minorHAnsi"/>
        </w:rPr>
        <w:t xml:space="preserve"> v prostředí s pokojovou teplotou (18 °C až 27 °C).</w:t>
      </w:r>
    </w:p>
    <w:p w14:paraId="2EE54575" w14:textId="77777777" w:rsidR="00DF49FC" w:rsidRPr="008C4BFF" w:rsidRDefault="002814B0" w:rsidP="003B4650">
      <w:pPr>
        <w:pStyle w:val="Nadpis11"/>
        <w:numPr>
          <w:ilvl w:val="0"/>
          <w:numId w:val="3"/>
        </w:numPr>
        <w:spacing w:before="127" w:line="240" w:lineRule="auto"/>
        <w:ind w:left="284" w:hanging="161"/>
        <w:rPr>
          <w:rFonts w:asciiTheme="minorHAnsi" w:hAnsiTheme="minorHAnsi" w:cstheme="minorHAnsi"/>
          <w:b w:val="0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MATERIÁL PRO JEDEN TEST</w:t>
      </w:r>
    </w:p>
    <w:p w14:paraId="2CA6584C" w14:textId="77777777" w:rsidR="00DF49FC" w:rsidRPr="008C4BFF" w:rsidRDefault="002814B0" w:rsidP="003B4650">
      <w:pPr>
        <w:pStyle w:val="Zkladntext"/>
        <w:ind w:left="123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1 testovací kazeta, 1 zkumavka s reagentem, 1 kapátko, 1 špička pipety a 1 pipeta 50 μl.</w:t>
      </w:r>
    </w:p>
    <w:p w14:paraId="04961755" w14:textId="28148876" w:rsidR="00DF49FC" w:rsidRPr="008C4BFF" w:rsidRDefault="00116CC8" w:rsidP="003B4650">
      <w:pPr>
        <w:pStyle w:val="Nadpis11"/>
        <w:spacing w:before="135" w:line="240" w:lineRule="auto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  <w:u w:val="single" w:color="2F2F81"/>
        </w:rPr>
        <w:t>PŘÍPRAVA ANALYZÁTORU SPEED READER</w:t>
      </w:r>
    </w:p>
    <w:p w14:paraId="0D09C271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  <w:b/>
        </w:rPr>
      </w:pPr>
      <w:r w:rsidRPr="008C4BFF">
        <w:rPr>
          <w:rFonts w:asciiTheme="minorHAnsi" w:hAnsiTheme="minorHAnsi" w:cstheme="minorHAnsi"/>
          <w:b/>
        </w:rPr>
        <w:t xml:space="preserve">Před zahájením testu </w:t>
      </w:r>
      <w:r w:rsidRPr="008C4BFF">
        <w:rPr>
          <w:rFonts w:asciiTheme="minorHAnsi" w:hAnsiTheme="minorHAnsi" w:cstheme="minorHAnsi"/>
        </w:rPr>
        <w:t>klepněte na tlačítko "New Test" (Nový test) na hlavní obrazovce.</w:t>
      </w:r>
    </w:p>
    <w:p w14:paraId="4A75231F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Postupujte podle pokynů na obrazovce.</w:t>
      </w:r>
    </w:p>
    <w:p w14:paraId="0AD12D56" w14:textId="77777777" w:rsidR="00DF49FC" w:rsidRPr="008C4BFF" w:rsidRDefault="002814B0" w:rsidP="003B4650">
      <w:pPr>
        <w:pStyle w:val="Nadpis11"/>
        <w:spacing w:before="135" w:line="240" w:lineRule="auto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  <w:u w:val="single" w:color="2F2F81"/>
        </w:rPr>
        <w:t>PŘENESENÍ VZORKU</w:t>
      </w:r>
    </w:p>
    <w:p w14:paraId="15C50440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Špičkou kapátka protrhněte hliníkovou fólii zkumavky s reagentem.</w:t>
      </w:r>
    </w:p>
    <w:p w14:paraId="4240D415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Na pipetu nasaďte novou jednorázovou špičku.</w:t>
      </w:r>
    </w:p>
    <w:p w14:paraId="4C14F262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spacing w:before="23"/>
        <w:ind w:right="380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  <w:b/>
        </w:rPr>
        <w:t>Přeneste 50 μl vzorku do zkumavky s reagentem</w:t>
      </w:r>
      <w:r w:rsidRPr="008C4BFF">
        <w:rPr>
          <w:rFonts w:asciiTheme="minorHAnsi" w:hAnsiTheme="minorHAnsi" w:cstheme="minorHAnsi"/>
        </w:rPr>
        <w:t xml:space="preserve"> v souladu s pokyny pro správné použití pipety. Dbejte na to, abyste se špičkou pipety nedotkli stěn zkumavky s reagentem.</w:t>
      </w:r>
    </w:p>
    <w:p w14:paraId="5AA381C0" w14:textId="77777777" w:rsidR="00DF49FC" w:rsidRPr="008C4BFF" w:rsidRDefault="002814B0" w:rsidP="003B4650">
      <w:pPr>
        <w:pStyle w:val="Nadpis11"/>
        <w:numPr>
          <w:ilvl w:val="0"/>
          <w:numId w:val="1"/>
        </w:numPr>
        <w:tabs>
          <w:tab w:val="left" w:pos="193"/>
        </w:tabs>
        <w:spacing w:line="240" w:lineRule="auto"/>
        <w:ind w:left="192" w:hanging="68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Kapátko zasuňte do zkumavky s reagentem, čímž ji těsně uzavřete.</w:t>
      </w:r>
    </w:p>
    <w:p w14:paraId="4DB58F05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  <w:b/>
        </w:rPr>
        <w:t>Pomalu promíchejte</w:t>
      </w:r>
      <w:r w:rsidRPr="008C4BFF">
        <w:rPr>
          <w:rFonts w:asciiTheme="minorHAnsi" w:hAnsiTheme="minorHAnsi" w:cstheme="minorHAnsi"/>
        </w:rPr>
        <w:t xml:space="preserve"> obsah zkumavky tak, že ji </w:t>
      </w:r>
      <w:r w:rsidRPr="008C4BFF">
        <w:rPr>
          <w:rFonts w:asciiTheme="minorHAnsi" w:hAnsiTheme="minorHAnsi" w:cstheme="minorHAnsi"/>
          <w:b/>
        </w:rPr>
        <w:t>nejméně pětkrát</w:t>
      </w:r>
      <w:r w:rsidRPr="008C4BFF">
        <w:rPr>
          <w:rFonts w:asciiTheme="minorHAnsi" w:hAnsiTheme="minorHAnsi" w:cstheme="minorHAnsi"/>
        </w:rPr>
        <w:t xml:space="preserve"> převrátíte. NEPROTŘEPÁVAT.</w:t>
      </w:r>
    </w:p>
    <w:p w14:paraId="493C9EB7" w14:textId="77777777" w:rsidR="00DF49FC" w:rsidRPr="008C4BFF" w:rsidRDefault="002814B0" w:rsidP="003B4650">
      <w:pPr>
        <w:pStyle w:val="Nadpis11"/>
        <w:spacing w:before="135" w:line="240" w:lineRule="auto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  <w:u w:val="single" w:color="2F2F81"/>
        </w:rPr>
        <w:t>APLIKACE VZORKU</w:t>
      </w:r>
    </w:p>
    <w:p w14:paraId="35A19B89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spacing w:before="27"/>
        <w:ind w:right="235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 xml:space="preserve">Sejměte plastový kryt z kapátka a </w:t>
      </w:r>
      <w:r w:rsidRPr="008C4BFF">
        <w:rPr>
          <w:rFonts w:asciiTheme="minorHAnsi" w:hAnsiTheme="minorHAnsi" w:cstheme="minorHAnsi"/>
          <w:b/>
        </w:rPr>
        <w:t>první 2 kapky</w:t>
      </w:r>
      <w:r w:rsidRPr="008C4BFF">
        <w:rPr>
          <w:rFonts w:asciiTheme="minorHAnsi" w:hAnsiTheme="minorHAnsi" w:cstheme="minorHAnsi"/>
        </w:rPr>
        <w:t xml:space="preserve"> směsi </w:t>
      </w:r>
      <w:r w:rsidRPr="008C4BFF">
        <w:rPr>
          <w:rFonts w:asciiTheme="minorHAnsi" w:hAnsiTheme="minorHAnsi" w:cstheme="minorHAnsi"/>
          <w:b/>
        </w:rPr>
        <w:t>zlikvidujte</w:t>
      </w:r>
      <w:r w:rsidRPr="008C4BFF">
        <w:rPr>
          <w:rFonts w:asciiTheme="minorHAnsi" w:hAnsiTheme="minorHAnsi" w:cstheme="minorHAnsi"/>
        </w:rPr>
        <w:t>, abyste propláchli konec kapátka.</w:t>
      </w:r>
    </w:p>
    <w:p w14:paraId="13D8B46F" w14:textId="6BA6CA00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right="187" w:firstLine="0"/>
        <w:rPr>
          <w:rFonts w:asciiTheme="minorHAnsi" w:hAnsiTheme="minorHAnsi" w:cstheme="minorHAnsi"/>
          <w:b/>
        </w:rPr>
      </w:pPr>
      <w:r w:rsidRPr="008C4BFF">
        <w:rPr>
          <w:rFonts w:asciiTheme="minorHAnsi" w:hAnsiTheme="minorHAnsi" w:cstheme="minorHAnsi"/>
        </w:rPr>
        <w:t xml:space="preserve">Z přihrádky analyzátoru Speed Reader vyjměte testovací kazetu a </w:t>
      </w:r>
      <w:r w:rsidRPr="008C4BFF">
        <w:rPr>
          <w:rFonts w:asciiTheme="minorHAnsi" w:hAnsiTheme="minorHAnsi" w:cstheme="minorHAnsi"/>
          <w:b/>
        </w:rPr>
        <w:t>do jamky na vzorek kápněte 2</w:t>
      </w:r>
      <w:r w:rsidR="00A41FA0" w:rsidRPr="008C4BFF">
        <w:rPr>
          <w:rFonts w:asciiTheme="minorHAnsi" w:hAnsiTheme="minorHAnsi" w:cstheme="minorHAnsi"/>
          <w:b/>
        </w:rPr>
        <w:t> </w:t>
      </w:r>
      <w:r w:rsidRPr="008C4BFF">
        <w:rPr>
          <w:rFonts w:asciiTheme="minorHAnsi" w:hAnsiTheme="minorHAnsi" w:cstheme="minorHAnsi"/>
          <w:b/>
        </w:rPr>
        <w:t>kapky směsi</w:t>
      </w:r>
      <w:r w:rsidRPr="008C4BFF">
        <w:rPr>
          <w:rFonts w:asciiTheme="minorHAnsi" w:hAnsiTheme="minorHAnsi" w:cstheme="minorHAnsi"/>
        </w:rPr>
        <w:t xml:space="preserve">. Kapátko se zkumavkou musí být při aplikaci </w:t>
      </w:r>
      <w:r w:rsidRPr="008C4BFF">
        <w:rPr>
          <w:rFonts w:asciiTheme="minorHAnsi" w:hAnsiTheme="minorHAnsi" w:cstheme="minorHAnsi"/>
          <w:b/>
        </w:rPr>
        <w:t>přesně</w:t>
      </w:r>
      <w:r w:rsidRPr="008C4BFF">
        <w:rPr>
          <w:rFonts w:asciiTheme="minorHAnsi" w:hAnsiTheme="minorHAnsi" w:cstheme="minorHAnsi"/>
        </w:rPr>
        <w:t xml:space="preserve"> </w:t>
      </w:r>
      <w:r w:rsidRPr="008C4BFF">
        <w:rPr>
          <w:rFonts w:asciiTheme="minorHAnsi" w:hAnsiTheme="minorHAnsi" w:cstheme="minorHAnsi"/>
          <w:b/>
        </w:rPr>
        <w:t>ve svislé poloze</w:t>
      </w:r>
      <w:r w:rsidRPr="008C4BFF">
        <w:rPr>
          <w:rFonts w:asciiTheme="minorHAnsi" w:hAnsiTheme="minorHAnsi" w:cstheme="minorHAnsi"/>
        </w:rPr>
        <w:t>.</w:t>
      </w:r>
    </w:p>
    <w:p w14:paraId="7B8EBBBF" w14:textId="77777777" w:rsidR="00DF49FC" w:rsidRPr="008C4BFF" w:rsidRDefault="00DF49FC" w:rsidP="003B4650">
      <w:pPr>
        <w:pStyle w:val="Zkladntext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DC57BC9" w14:textId="77777777" w:rsidR="00DF49FC" w:rsidRPr="008C4BFF" w:rsidRDefault="002814B0" w:rsidP="003B465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  <w:u w:val="single" w:color="2F2F81"/>
        </w:rPr>
        <w:t>ODEČET VÝSLEDKU</w:t>
      </w:r>
    </w:p>
    <w:p w14:paraId="0C2A88FE" w14:textId="02441A3B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spacing w:before="27"/>
        <w:ind w:right="536" w:firstLine="0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Poté, co se na obrazovce analyzátoru objeví příslušný pokyn, zasuňte testovací kazetu do</w:t>
      </w:r>
      <w:r w:rsidR="00A41FA0" w:rsidRPr="008C4BFF">
        <w:rPr>
          <w:rFonts w:asciiTheme="minorHAnsi" w:hAnsiTheme="minorHAnsi" w:cstheme="minorHAnsi"/>
        </w:rPr>
        <w:t> </w:t>
      </w:r>
      <w:r w:rsidRPr="008C4BFF">
        <w:rPr>
          <w:rFonts w:asciiTheme="minorHAnsi" w:hAnsiTheme="minorHAnsi" w:cstheme="minorHAnsi"/>
        </w:rPr>
        <w:t>přihrádky na vkládání testů podle šipky vyznačené na kazetě (vzorkem napřed) a</w:t>
      </w:r>
      <w:r w:rsidR="00A41FA0" w:rsidRPr="008C4BFF">
        <w:rPr>
          <w:rFonts w:asciiTheme="minorHAnsi" w:hAnsiTheme="minorHAnsi" w:cstheme="minorHAnsi"/>
        </w:rPr>
        <w:t> </w:t>
      </w:r>
      <w:r w:rsidRPr="008C4BFF">
        <w:rPr>
          <w:rFonts w:asciiTheme="minorHAnsi" w:hAnsiTheme="minorHAnsi" w:cstheme="minorHAnsi"/>
        </w:rPr>
        <w:t>postupujte podle dalších instrukcí na obrazovce analyzátoru.</w:t>
      </w:r>
    </w:p>
    <w:p w14:paraId="56D629E0" w14:textId="77777777" w:rsidR="00DF49FC" w:rsidRPr="008C4BFF" w:rsidRDefault="002814B0" w:rsidP="003B4650">
      <w:pPr>
        <w:pStyle w:val="Odstavecseseznamem"/>
        <w:numPr>
          <w:ilvl w:val="0"/>
          <w:numId w:val="1"/>
        </w:numPr>
        <w:tabs>
          <w:tab w:val="left" w:pos="193"/>
        </w:tabs>
        <w:ind w:left="192" w:hanging="68"/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t>Na obrazovce přístroje se zobrazí výsledek.</w:t>
      </w:r>
    </w:p>
    <w:p w14:paraId="711159A7" w14:textId="77777777" w:rsidR="00DF49FC" w:rsidRPr="008C4BFF" w:rsidRDefault="002814B0" w:rsidP="003B4650">
      <w:pPr>
        <w:pStyle w:val="Nadpis11"/>
        <w:spacing w:before="135" w:line="240" w:lineRule="auto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  <w:u w:val="single" w:color="2F2F81"/>
        </w:rPr>
        <w:t>INTERPRETACE</w:t>
      </w:r>
    </w:p>
    <w:p w14:paraId="41A94F5C" w14:textId="77777777" w:rsidR="00DF49FC" w:rsidRPr="008C4BFF" w:rsidRDefault="002814B0" w:rsidP="003B4650">
      <w:pPr>
        <w:pStyle w:val="Zkladntext"/>
        <w:ind w:left="123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Koncentrace CPSE se měří v ng/l v rozmezí od 5 ng/ml do 500 ng/ml.</w:t>
      </w:r>
    </w:p>
    <w:p w14:paraId="17564149" w14:textId="77777777" w:rsidR="00DD3871" w:rsidRPr="008C4BFF" w:rsidRDefault="00DD3871">
      <w:pPr>
        <w:rPr>
          <w:rFonts w:asciiTheme="minorHAnsi" w:hAnsiTheme="minorHAnsi" w:cstheme="minorHAnsi"/>
        </w:rPr>
      </w:pPr>
      <w:r w:rsidRPr="008C4BFF">
        <w:rPr>
          <w:rFonts w:asciiTheme="minorHAnsi" w:hAnsiTheme="minorHAnsi" w:cstheme="minorHAnsi"/>
        </w:rPr>
        <w:br w:type="page"/>
      </w:r>
    </w:p>
    <w:p w14:paraId="63133E39" w14:textId="77777777" w:rsidR="00DF49FC" w:rsidRPr="008C4BFF" w:rsidRDefault="00DF49FC" w:rsidP="003B4650">
      <w:pPr>
        <w:pStyle w:val="Zkladntext"/>
        <w:spacing w:before="12" w:after="1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2F2F81"/>
          <w:left w:val="single" w:sz="2" w:space="0" w:color="2F2F81"/>
          <w:bottom w:val="single" w:sz="2" w:space="0" w:color="2F2F81"/>
          <w:right w:val="single" w:sz="2" w:space="0" w:color="2F2F81"/>
          <w:insideH w:val="single" w:sz="2" w:space="0" w:color="2F2F81"/>
          <w:insideV w:val="single" w:sz="2" w:space="0" w:color="2F2F81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3630"/>
      </w:tblGrid>
      <w:tr w:rsidR="00DF49FC" w:rsidRPr="008C4BFF" w14:paraId="60028A22" w14:textId="77777777" w:rsidTr="00022A92">
        <w:trPr>
          <w:trHeight w:hRule="exact" w:val="349"/>
        </w:trPr>
        <w:tc>
          <w:tcPr>
            <w:tcW w:w="7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2F81"/>
          </w:tcPr>
          <w:p w14:paraId="7446ED17" w14:textId="77777777" w:rsidR="00DF49FC" w:rsidRPr="008C4BFF" w:rsidRDefault="002814B0" w:rsidP="003B4650">
            <w:pPr>
              <w:pStyle w:val="TableParagraph"/>
              <w:spacing w:before="45" w:line="240" w:lineRule="auto"/>
              <w:ind w:left="95"/>
              <w:rPr>
                <w:rFonts w:asciiTheme="minorHAnsi" w:hAnsiTheme="minorHAnsi" w:cstheme="minorHAnsi"/>
                <w:b/>
              </w:rPr>
            </w:pPr>
            <w:r w:rsidRPr="008C4BFF">
              <w:rPr>
                <w:rFonts w:asciiTheme="minorHAnsi" w:hAnsiTheme="minorHAnsi" w:cstheme="minorHAnsi"/>
                <w:b/>
              </w:rPr>
              <w:t>Referenční hodnoty:</w:t>
            </w:r>
          </w:p>
        </w:tc>
      </w:tr>
      <w:tr w:rsidR="00DF49FC" w:rsidRPr="008C4BFF" w14:paraId="2F74B98B" w14:textId="77777777" w:rsidTr="00022A92">
        <w:trPr>
          <w:trHeight w:hRule="exact" w:val="349"/>
        </w:trPr>
        <w:tc>
          <w:tcPr>
            <w:tcW w:w="3561" w:type="dxa"/>
            <w:tcBorders>
              <w:top w:val="nil"/>
            </w:tcBorders>
          </w:tcPr>
          <w:p w14:paraId="5C7A2114" w14:textId="77777777" w:rsidR="00DF49FC" w:rsidRPr="008C4BFF" w:rsidRDefault="002814B0" w:rsidP="003B4650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C4BFF">
              <w:rPr>
                <w:rFonts w:asciiTheme="minorHAnsi" w:hAnsiTheme="minorHAnsi" w:cstheme="minorHAnsi"/>
              </w:rPr>
              <w:t>Normální: ≤ 50 ng/ml</w:t>
            </w:r>
          </w:p>
        </w:tc>
        <w:tc>
          <w:tcPr>
            <w:tcW w:w="3630" w:type="dxa"/>
            <w:tcBorders>
              <w:top w:val="nil"/>
            </w:tcBorders>
          </w:tcPr>
          <w:p w14:paraId="5453D73A" w14:textId="77777777" w:rsidR="00DF49FC" w:rsidRPr="008C4BFF" w:rsidRDefault="002814B0" w:rsidP="003B4650">
            <w:pPr>
              <w:pStyle w:val="TableParagraph"/>
              <w:spacing w:line="240" w:lineRule="auto"/>
              <w:ind w:left="110"/>
              <w:rPr>
                <w:rFonts w:asciiTheme="minorHAnsi" w:hAnsiTheme="minorHAnsi" w:cstheme="minorHAnsi"/>
              </w:rPr>
            </w:pPr>
            <w:r w:rsidRPr="008C4BFF">
              <w:rPr>
                <w:rFonts w:asciiTheme="minorHAnsi" w:hAnsiTheme="minorHAnsi" w:cstheme="minorHAnsi"/>
              </w:rPr>
              <w:t>=&gt; BPH nepravděpodobná</w:t>
            </w:r>
          </w:p>
        </w:tc>
      </w:tr>
      <w:tr w:rsidR="00DF49FC" w:rsidRPr="008C4BFF" w14:paraId="70379646" w14:textId="77777777" w:rsidTr="00022A92">
        <w:trPr>
          <w:trHeight w:hRule="exact" w:val="349"/>
        </w:trPr>
        <w:tc>
          <w:tcPr>
            <w:tcW w:w="3561" w:type="dxa"/>
          </w:tcPr>
          <w:p w14:paraId="2BFECB6F" w14:textId="77777777" w:rsidR="00DF49FC" w:rsidRPr="008C4BFF" w:rsidRDefault="002814B0" w:rsidP="003B4650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C4BFF">
              <w:rPr>
                <w:rFonts w:asciiTheme="minorHAnsi" w:hAnsiTheme="minorHAnsi" w:cstheme="minorHAnsi"/>
              </w:rPr>
              <w:t>Neprůkazné: 50-70 ng/ml</w:t>
            </w:r>
          </w:p>
        </w:tc>
        <w:tc>
          <w:tcPr>
            <w:tcW w:w="3630" w:type="dxa"/>
          </w:tcPr>
          <w:p w14:paraId="68CF352B" w14:textId="77777777" w:rsidR="00DF49FC" w:rsidRPr="008C4BFF" w:rsidRDefault="002814B0" w:rsidP="003B4650">
            <w:pPr>
              <w:pStyle w:val="TableParagraph"/>
              <w:spacing w:line="240" w:lineRule="auto"/>
              <w:ind w:left="110"/>
              <w:rPr>
                <w:rFonts w:asciiTheme="minorHAnsi" w:hAnsiTheme="minorHAnsi" w:cstheme="minorHAnsi"/>
              </w:rPr>
            </w:pPr>
            <w:r w:rsidRPr="008C4BFF">
              <w:rPr>
                <w:rFonts w:asciiTheme="minorHAnsi" w:hAnsiTheme="minorHAnsi" w:cstheme="minorHAnsi"/>
              </w:rPr>
              <w:t>=&gt; BPH je možná</w:t>
            </w:r>
          </w:p>
        </w:tc>
      </w:tr>
      <w:tr w:rsidR="00DF49FC" w:rsidRPr="008C4BFF" w14:paraId="6A511456" w14:textId="77777777" w:rsidTr="00022A92">
        <w:trPr>
          <w:trHeight w:hRule="exact" w:val="349"/>
        </w:trPr>
        <w:tc>
          <w:tcPr>
            <w:tcW w:w="3561" w:type="dxa"/>
          </w:tcPr>
          <w:p w14:paraId="1F8CEB9A" w14:textId="77777777" w:rsidR="00DF49FC" w:rsidRPr="008C4BFF" w:rsidRDefault="002814B0" w:rsidP="003B4650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C4BFF">
              <w:rPr>
                <w:rFonts w:asciiTheme="minorHAnsi" w:hAnsiTheme="minorHAnsi" w:cstheme="minorHAnsi"/>
              </w:rPr>
              <w:t>Vysoké: ≥ 70 ng/ml</w:t>
            </w:r>
          </w:p>
        </w:tc>
        <w:tc>
          <w:tcPr>
            <w:tcW w:w="3630" w:type="dxa"/>
          </w:tcPr>
          <w:p w14:paraId="7C372345" w14:textId="77777777" w:rsidR="00DF49FC" w:rsidRPr="008C4BFF" w:rsidRDefault="002814B0" w:rsidP="003B4650">
            <w:pPr>
              <w:pStyle w:val="TableParagraph"/>
              <w:spacing w:line="240" w:lineRule="auto"/>
              <w:ind w:left="110"/>
              <w:rPr>
                <w:rFonts w:asciiTheme="minorHAnsi" w:hAnsiTheme="minorHAnsi" w:cstheme="minorHAnsi"/>
              </w:rPr>
            </w:pPr>
            <w:r w:rsidRPr="008C4BFF">
              <w:rPr>
                <w:rFonts w:asciiTheme="minorHAnsi" w:hAnsiTheme="minorHAnsi" w:cstheme="minorHAnsi"/>
              </w:rPr>
              <w:t>=&gt; odpovídá BPH</w:t>
            </w:r>
          </w:p>
        </w:tc>
      </w:tr>
    </w:tbl>
    <w:p w14:paraId="43861443" w14:textId="77777777" w:rsidR="003B4650" w:rsidRPr="008C4BFF" w:rsidRDefault="003B4650" w:rsidP="003B4650">
      <w:pPr>
        <w:pStyle w:val="Zkladntext"/>
        <w:spacing w:before="82"/>
        <w:ind w:left="123" w:right="230"/>
        <w:rPr>
          <w:rFonts w:asciiTheme="minorHAnsi" w:hAnsiTheme="minorHAnsi" w:cstheme="minorHAnsi"/>
          <w:sz w:val="22"/>
          <w:szCs w:val="22"/>
        </w:rPr>
      </w:pPr>
    </w:p>
    <w:p w14:paraId="09C43332" w14:textId="77777777" w:rsidR="00DF49FC" w:rsidRPr="008C4BFF" w:rsidRDefault="002814B0" w:rsidP="003B4650">
      <w:pPr>
        <w:pStyle w:val="Zkladntext"/>
        <w:spacing w:before="82"/>
        <w:ind w:left="123" w:right="230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>Tato doporučení jsou pouze orientační. Účelem tohoto testu je měřit koncentraci CPSE v krvi psů. Jelikož žádná diagnostická metoda není stoprocentně přesná, veterinář musí při interpretaci zohlednit anamnézu pacienta, nález z klinického vyšetření zvířete a výsledky jakýchkoliv dalších diagnostických testů. Konečná diagnóza je výsadou a odpovědností veterináře.</w:t>
      </w:r>
    </w:p>
    <w:p w14:paraId="46ECCB5F" w14:textId="64D9D86E" w:rsidR="00DF49FC" w:rsidRPr="008C4BFF" w:rsidRDefault="002814B0" w:rsidP="003B4650">
      <w:pPr>
        <w:pStyle w:val="Zkladntext"/>
        <w:ind w:left="123" w:right="249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4C3C82" w:rsidRPr="008C4BFF">
        <w:rPr>
          <w:rFonts w:asciiTheme="minorHAnsi" w:hAnsiTheme="minorHAnsi" w:cstheme="minorHAnsi"/>
          <w:sz w:val="22"/>
          <w:szCs w:val="22"/>
        </w:rPr>
        <w:t>Virbac Diagnostics</w:t>
      </w:r>
      <w:r w:rsidRPr="008C4BFF">
        <w:rPr>
          <w:rFonts w:asciiTheme="minorHAnsi" w:hAnsiTheme="minorHAnsi" w:cstheme="minorHAnsi"/>
          <w:sz w:val="22"/>
          <w:szCs w:val="22"/>
        </w:rPr>
        <w:t xml:space="preserve"> ani její distributoři nenesou odpovědnost za žádné následky nesprávného používání tohoto testu nebo nesprávné interpretace jeho výsledků.</w:t>
      </w:r>
    </w:p>
    <w:p w14:paraId="1450D00D" w14:textId="7B4A3F43" w:rsidR="00022A92" w:rsidRPr="008C4BFF" w:rsidRDefault="00022A92" w:rsidP="003B4650">
      <w:pPr>
        <w:pStyle w:val="Zkladntext"/>
        <w:ind w:left="123" w:right="249"/>
        <w:rPr>
          <w:rFonts w:asciiTheme="minorHAnsi" w:hAnsiTheme="minorHAnsi" w:cstheme="minorHAnsi"/>
          <w:sz w:val="22"/>
          <w:szCs w:val="22"/>
        </w:rPr>
      </w:pPr>
    </w:p>
    <w:p w14:paraId="7B71CEC2" w14:textId="1AD874EC" w:rsidR="00022A92" w:rsidRPr="008C4BFF" w:rsidRDefault="00022A92" w:rsidP="00022A92">
      <w:pPr>
        <w:pStyle w:val="Zkladntext"/>
        <w:tabs>
          <w:tab w:val="left" w:pos="1598"/>
          <w:tab w:val="left" w:pos="3293"/>
        </w:tabs>
        <w:ind w:right="395"/>
        <w:rPr>
          <w:rFonts w:asciiTheme="minorHAnsi" w:hAnsiTheme="minorHAnsi" w:cstheme="minorHAnsi"/>
          <w:sz w:val="22"/>
          <w:szCs w:val="22"/>
        </w:rPr>
      </w:pPr>
      <w:r w:rsidRPr="008C4BFF">
        <w:rPr>
          <w:rFonts w:asciiTheme="minorHAnsi" w:hAnsiTheme="minorHAnsi" w:cstheme="minorHAnsi"/>
          <w:sz w:val="22"/>
          <w:szCs w:val="22"/>
        </w:rPr>
        <w:t xml:space="preserve">SPEED READER, </w:t>
      </w:r>
      <w:r w:rsidRPr="008C4BFF">
        <w:rPr>
          <w:rFonts w:asciiTheme="minorHAnsi" w:hAnsiTheme="minorHAnsi" w:cstheme="minorHAnsi"/>
          <w:i/>
          <w:sz w:val="22"/>
          <w:szCs w:val="22"/>
        </w:rPr>
        <w:t>Speed Reader</w:t>
      </w:r>
      <w:r w:rsidRPr="008C4BFF">
        <w:rPr>
          <w:rFonts w:asciiTheme="minorHAnsi" w:hAnsiTheme="minorHAnsi" w:cstheme="minorHAnsi"/>
          <w:sz w:val="22"/>
          <w:szCs w:val="22"/>
        </w:rPr>
        <w:t xml:space="preserve">, SPEED and </w:t>
      </w:r>
      <w:r w:rsidRPr="008C4BFF">
        <w:rPr>
          <w:rFonts w:asciiTheme="minorHAnsi" w:hAnsiTheme="minorHAnsi" w:cstheme="minorHAnsi"/>
          <w:i/>
          <w:sz w:val="22"/>
          <w:szCs w:val="22"/>
        </w:rPr>
        <w:t>Speed</w:t>
      </w:r>
      <w:r w:rsidRPr="008C4BFF">
        <w:rPr>
          <w:rFonts w:asciiTheme="minorHAnsi" w:hAnsiTheme="minorHAnsi" w:cstheme="minorHAnsi"/>
          <w:sz w:val="22"/>
          <w:szCs w:val="22"/>
        </w:rPr>
        <w:t xml:space="preserve"> jsou registrované ochranné známky nebo</w:t>
      </w:r>
      <w:r w:rsidR="00A41FA0" w:rsidRPr="008C4BFF">
        <w:rPr>
          <w:rFonts w:asciiTheme="minorHAnsi" w:hAnsiTheme="minorHAnsi" w:cstheme="minorHAnsi"/>
          <w:sz w:val="22"/>
          <w:szCs w:val="22"/>
        </w:rPr>
        <w:t> </w:t>
      </w:r>
      <w:r w:rsidRPr="008C4BFF">
        <w:rPr>
          <w:rFonts w:asciiTheme="minorHAnsi" w:hAnsiTheme="minorHAnsi" w:cstheme="minorHAnsi"/>
          <w:sz w:val="22"/>
          <w:szCs w:val="22"/>
        </w:rPr>
        <w:t>ochranné známky společnosti Virbac nebo jejích přidružených společností.</w:t>
      </w:r>
      <w:bookmarkStart w:id="0" w:name="_GoBack"/>
      <w:bookmarkEnd w:id="0"/>
    </w:p>
    <w:sectPr w:rsidR="00022A92" w:rsidRPr="008C4BFF" w:rsidSect="00022A92">
      <w:headerReference w:type="default" r:id="rId7"/>
      <w:type w:val="continuous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5BDD9" w14:textId="77777777" w:rsidR="009D0A68" w:rsidRDefault="009D0A68" w:rsidP="00A35B15">
      <w:r>
        <w:separator/>
      </w:r>
    </w:p>
  </w:endnote>
  <w:endnote w:type="continuationSeparator" w:id="0">
    <w:p w14:paraId="47CA31D4" w14:textId="77777777" w:rsidR="009D0A68" w:rsidRDefault="009D0A68" w:rsidP="00A3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278AF" w14:textId="77777777" w:rsidR="009D0A68" w:rsidRDefault="009D0A68" w:rsidP="00A35B15">
      <w:r>
        <w:separator/>
      </w:r>
    </w:p>
  </w:footnote>
  <w:footnote w:type="continuationSeparator" w:id="0">
    <w:p w14:paraId="4E636EB6" w14:textId="77777777" w:rsidR="009D0A68" w:rsidRDefault="009D0A68" w:rsidP="00A35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AE9B5" w14:textId="162E93DC" w:rsidR="003D79B8" w:rsidRPr="003D79B8" w:rsidRDefault="003D79B8" w:rsidP="00BF6F16">
    <w:pPr>
      <w:jc w:val="both"/>
      <w:rPr>
        <w:rFonts w:ascii="Calibri" w:hAnsi="Calibri"/>
        <w:b/>
        <w:bCs/>
      </w:rPr>
    </w:pPr>
    <w:r w:rsidRPr="003D79B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3D79B8">
      <w:rPr>
        <w:rFonts w:ascii="Calibri" w:hAnsi="Calibri"/>
        <w:bCs/>
      </w:rPr>
      <w:t> součást dokumentace schválené rozhodnutím sp.</w:t>
    </w:r>
    <w:r w:rsidR="008C4BFF">
      <w:rPr>
        <w:rFonts w:ascii="Calibri" w:hAnsi="Calibri"/>
        <w:bCs/>
      </w:rPr>
      <w:t> </w:t>
    </w:r>
    <w:r w:rsidRPr="003D79B8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00D9D52C26D04A2E89D7306F366FCECC"/>
        </w:placeholder>
        <w:text/>
      </w:sdtPr>
      <w:sdtEndPr/>
      <w:sdtContent>
        <w:r>
          <w:rPr>
            <w:rFonts w:ascii="Calibri" w:hAnsi="Calibri"/>
            <w:bCs/>
          </w:rPr>
          <w:t>USKVBL/16018/2023/POD</w:t>
        </w:r>
      </w:sdtContent>
    </w:sdt>
    <w:r w:rsidRPr="003D79B8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00D9D52C26D04A2E89D7306F366FCECC"/>
        </w:placeholder>
        <w:text/>
      </w:sdtPr>
      <w:sdtEndPr/>
      <w:sdtContent>
        <w:r w:rsidR="00814A14" w:rsidRPr="00814A14">
          <w:rPr>
            <w:rFonts w:ascii="Calibri" w:hAnsi="Calibri"/>
            <w:bCs/>
          </w:rPr>
          <w:t>USKVBL/5199/2024/REG-Gro</w:t>
        </w:r>
      </w:sdtContent>
    </w:sdt>
    <w:r w:rsidRPr="003D79B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8746FE25A15E4EF9885016C77B74BD40"/>
        </w:placeholder>
        <w:date w:fullDate="2024-04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4A14">
          <w:rPr>
            <w:rFonts w:ascii="Calibri" w:hAnsi="Calibri"/>
            <w:bCs/>
          </w:rPr>
          <w:t>16.4.2024</w:t>
        </w:r>
      </w:sdtContent>
    </w:sdt>
    <w:r w:rsidRPr="003D79B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D412C10ADBC44779EDFE8BB0EC3BF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D79B8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92BE26173CE04879BF1E3812FBE6A3F8"/>
        </w:placeholder>
        <w:text/>
      </w:sdtPr>
      <w:sdtEndPr/>
      <w:sdtContent>
        <w:r>
          <w:rPr>
            <w:rFonts w:ascii="Calibri" w:hAnsi="Calibri"/>
          </w:rPr>
          <w:t>SPEED CPSE</w:t>
        </w:r>
      </w:sdtContent>
    </w:sdt>
  </w:p>
  <w:p w14:paraId="6F7190A0" w14:textId="40BF245A" w:rsidR="00A35B15" w:rsidRDefault="00814A14" w:rsidP="00814A14">
    <w:pPr>
      <w:pStyle w:val="Zhlav"/>
      <w:tabs>
        <w:tab w:val="clear" w:pos="4536"/>
        <w:tab w:val="clear" w:pos="9072"/>
        <w:tab w:val="left" w:pos="60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8B2"/>
    <w:multiLevelType w:val="hybridMultilevel"/>
    <w:tmpl w:val="A964FF32"/>
    <w:lvl w:ilvl="0" w:tplc="C4C0AAFC">
      <w:numFmt w:val="bullet"/>
      <w:lvlText w:val="-"/>
      <w:lvlJc w:val="left"/>
      <w:pPr>
        <w:ind w:left="124" w:hanging="69"/>
      </w:pPr>
      <w:rPr>
        <w:rFonts w:ascii="Arial Unicode MS" w:eastAsia="Arial Unicode MS" w:hAnsi="Arial Unicode MS" w:cs="Arial Unicode MS" w:hint="default"/>
        <w:color w:val="2F2F81"/>
        <w:w w:val="85"/>
        <w:sz w:val="12"/>
        <w:szCs w:val="12"/>
      </w:rPr>
    </w:lvl>
    <w:lvl w:ilvl="1" w:tplc="07F8FD20">
      <w:numFmt w:val="bullet"/>
      <w:lvlText w:val="•"/>
      <w:lvlJc w:val="left"/>
      <w:pPr>
        <w:ind w:left="727" w:hanging="69"/>
      </w:pPr>
      <w:rPr>
        <w:rFonts w:hint="default"/>
      </w:rPr>
    </w:lvl>
    <w:lvl w:ilvl="2" w:tplc="513CD294">
      <w:numFmt w:val="bullet"/>
      <w:lvlText w:val="•"/>
      <w:lvlJc w:val="left"/>
      <w:pPr>
        <w:ind w:left="1335" w:hanging="69"/>
      </w:pPr>
      <w:rPr>
        <w:rFonts w:hint="default"/>
      </w:rPr>
    </w:lvl>
    <w:lvl w:ilvl="3" w:tplc="EE04BDA6">
      <w:numFmt w:val="bullet"/>
      <w:lvlText w:val="•"/>
      <w:lvlJc w:val="left"/>
      <w:pPr>
        <w:ind w:left="1943" w:hanging="69"/>
      </w:pPr>
      <w:rPr>
        <w:rFonts w:hint="default"/>
      </w:rPr>
    </w:lvl>
    <w:lvl w:ilvl="4" w:tplc="29F05C72">
      <w:numFmt w:val="bullet"/>
      <w:lvlText w:val="•"/>
      <w:lvlJc w:val="left"/>
      <w:pPr>
        <w:ind w:left="2551" w:hanging="69"/>
      </w:pPr>
      <w:rPr>
        <w:rFonts w:hint="default"/>
      </w:rPr>
    </w:lvl>
    <w:lvl w:ilvl="5" w:tplc="DF986EB0">
      <w:numFmt w:val="bullet"/>
      <w:lvlText w:val="•"/>
      <w:lvlJc w:val="left"/>
      <w:pPr>
        <w:ind w:left="3159" w:hanging="69"/>
      </w:pPr>
      <w:rPr>
        <w:rFonts w:hint="default"/>
      </w:rPr>
    </w:lvl>
    <w:lvl w:ilvl="6" w:tplc="C76AEB26">
      <w:numFmt w:val="bullet"/>
      <w:lvlText w:val="•"/>
      <w:lvlJc w:val="left"/>
      <w:pPr>
        <w:ind w:left="3767" w:hanging="69"/>
      </w:pPr>
      <w:rPr>
        <w:rFonts w:hint="default"/>
      </w:rPr>
    </w:lvl>
    <w:lvl w:ilvl="7" w:tplc="B9EE575A">
      <w:numFmt w:val="bullet"/>
      <w:lvlText w:val="•"/>
      <w:lvlJc w:val="left"/>
      <w:pPr>
        <w:ind w:left="4375" w:hanging="69"/>
      </w:pPr>
      <w:rPr>
        <w:rFonts w:hint="default"/>
      </w:rPr>
    </w:lvl>
    <w:lvl w:ilvl="8" w:tplc="784EBBCE">
      <w:numFmt w:val="bullet"/>
      <w:lvlText w:val="•"/>
      <w:lvlJc w:val="left"/>
      <w:pPr>
        <w:ind w:left="4983" w:hanging="69"/>
      </w:pPr>
      <w:rPr>
        <w:rFonts w:hint="default"/>
      </w:rPr>
    </w:lvl>
  </w:abstractNum>
  <w:abstractNum w:abstractNumId="1" w15:restartNumberingAfterBreak="0">
    <w:nsid w:val="3A3B268F"/>
    <w:multiLevelType w:val="hybridMultilevel"/>
    <w:tmpl w:val="E340CF08"/>
    <w:lvl w:ilvl="0" w:tplc="E77E8AD2">
      <w:numFmt w:val="bullet"/>
      <w:lvlText w:val="-"/>
      <w:lvlJc w:val="left"/>
      <w:pPr>
        <w:ind w:left="124" w:hanging="69"/>
      </w:pPr>
      <w:rPr>
        <w:rFonts w:ascii="Arial Unicode MS" w:eastAsia="Arial Unicode MS" w:hAnsi="Arial Unicode MS" w:cs="Arial Unicode MS" w:hint="default"/>
        <w:color w:val="2F2F81"/>
        <w:w w:val="85"/>
        <w:sz w:val="12"/>
        <w:szCs w:val="12"/>
      </w:rPr>
    </w:lvl>
    <w:lvl w:ilvl="1" w:tplc="4288E7E6">
      <w:numFmt w:val="bullet"/>
      <w:lvlText w:val="•"/>
      <w:lvlJc w:val="left"/>
      <w:pPr>
        <w:ind w:left="727" w:hanging="69"/>
      </w:pPr>
      <w:rPr>
        <w:rFonts w:hint="default"/>
      </w:rPr>
    </w:lvl>
    <w:lvl w:ilvl="2" w:tplc="28B64C68">
      <w:numFmt w:val="bullet"/>
      <w:lvlText w:val="•"/>
      <w:lvlJc w:val="left"/>
      <w:pPr>
        <w:ind w:left="1335" w:hanging="69"/>
      </w:pPr>
      <w:rPr>
        <w:rFonts w:hint="default"/>
      </w:rPr>
    </w:lvl>
    <w:lvl w:ilvl="3" w:tplc="BD281700">
      <w:numFmt w:val="bullet"/>
      <w:lvlText w:val="•"/>
      <w:lvlJc w:val="left"/>
      <w:pPr>
        <w:ind w:left="1943" w:hanging="69"/>
      </w:pPr>
      <w:rPr>
        <w:rFonts w:hint="default"/>
      </w:rPr>
    </w:lvl>
    <w:lvl w:ilvl="4" w:tplc="DAA0AD0A">
      <w:numFmt w:val="bullet"/>
      <w:lvlText w:val="•"/>
      <w:lvlJc w:val="left"/>
      <w:pPr>
        <w:ind w:left="2551" w:hanging="69"/>
      </w:pPr>
      <w:rPr>
        <w:rFonts w:hint="default"/>
      </w:rPr>
    </w:lvl>
    <w:lvl w:ilvl="5" w:tplc="EBC8E51E">
      <w:numFmt w:val="bullet"/>
      <w:lvlText w:val="•"/>
      <w:lvlJc w:val="left"/>
      <w:pPr>
        <w:ind w:left="3159" w:hanging="69"/>
      </w:pPr>
      <w:rPr>
        <w:rFonts w:hint="default"/>
      </w:rPr>
    </w:lvl>
    <w:lvl w:ilvl="6" w:tplc="493879AC">
      <w:numFmt w:val="bullet"/>
      <w:lvlText w:val="•"/>
      <w:lvlJc w:val="left"/>
      <w:pPr>
        <w:ind w:left="3767" w:hanging="69"/>
      </w:pPr>
      <w:rPr>
        <w:rFonts w:hint="default"/>
      </w:rPr>
    </w:lvl>
    <w:lvl w:ilvl="7" w:tplc="6046E824">
      <w:numFmt w:val="bullet"/>
      <w:lvlText w:val="•"/>
      <w:lvlJc w:val="left"/>
      <w:pPr>
        <w:ind w:left="4375" w:hanging="69"/>
      </w:pPr>
      <w:rPr>
        <w:rFonts w:hint="default"/>
      </w:rPr>
    </w:lvl>
    <w:lvl w:ilvl="8" w:tplc="2ABE28A4">
      <w:numFmt w:val="bullet"/>
      <w:lvlText w:val="•"/>
      <w:lvlJc w:val="left"/>
      <w:pPr>
        <w:ind w:left="4983" w:hanging="69"/>
      </w:pPr>
      <w:rPr>
        <w:rFonts w:hint="default"/>
      </w:rPr>
    </w:lvl>
  </w:abstractNum>
  <w:abstractNum w:abstractNumId="2" w15:restartNumberingAfterBreak="0">
    <w:nsid w:val="44552201"/>
    <w:multiLevelType w:val="hybridMultilevel"/>
    <w:tmpl w:val="809EA4F6"/>
    <w:lvl w:ilvl="0" w:tplc="04050005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FC"/>
    <w:rsid w:val="00022A92"/>
    <w:rsid w:val="00097EA6"/>
    <w:rsid w:val="000A61E6"/>
    <w:rsid w:val="000D0E8C"/>
    <w:rsid w:val="00110C7B"/>
    <w:rsid w:val="0011361D"/>
    <w:rsid w:val="00116CC8"/>
    <w:rsid w:val="001B280E"/>
    <w:rsid w:val="00200E2F"/>
    <w:rsid w:val="002814B0"/>
    <w:rsid w:val="002B42AA"/>
    <w:rsid w:val="003A3559"/>
    <w:rsid w:val="003B4650"/>
    <w:rsid w:val="003D79B8"/>
    <w:rsid w:val="00410452"/>
    <w:rsid w:val="004C3C82"/>
    <w:rsid w:val="00557683"/>
    <w:rsid w:val="0064560A"/>
    <w:rsid w:val="006E6974"/>
    <w:rsid w:val="00814A14"/>
    <w:rsid w:val="008943B6"/>
    <w:rsid w:val="008C4BFF"/>
    <w:rsid w:val="009125C7"/>
    <w:rsid w:val="00956074"/>
    <w:rsid w:val="009818CF"/>
    <w:rsid w:val="009D0A68"/>
    <w:rsid w:val="00A2414F"/>
    <w:rsid w:val="00A35B15"/>
    <w:rsid w:val="00A41FA0"/>
    <w:rsid w:val="00A60E49"/>
    <w:rsid w:val="00AC2948"/>
    <w:rsid w:val="00B7108F"/>
    <w:rsid w:val="00C46B85"/>
    <w:rsid w:val="00C47CC6"/>
    <w:rsid w:val="00C56B97"/>
    <w:rsid w:val="00C72537"/>
    <w:rsid w:val="00DD3871"/>
    <w:rsid w:val="00DE0268"/>
    <w:rsid w:val="00DF49FC"/>
    <w:rsid w:val="00E16036"/>
    <w:rsid w:val="00EC45FC"/>
    <w:rsid w:val="00F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6D0B8"/>
  <w15:docId w15:val="{14DDD0EE-33BB-474D-AAED-8C2CEEB8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F49FC"/>
    <w:rPr>
      <w:rFonts w:ascii="Arial Unicode MS" w:eastAsia="Arial Unicode MS" w:hAnsi="Arial Unicode MS"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F49FC"/>
    <w:pPr>
      <w:ind w:left="192"/>
    </w:pPr>
    <w:rPr>
      <w:sz w:val="12"/>
      <w:szCs w:val="12"/>
    </w:rPr>
  </w:style>
  <w:style w:type="paragraph" w:customStyle="1" w:styleId="Nadpis11">
    <w:name w:val="Nadpis 11"/>
    <w:basedOn w:val="Normln"/>
    <w:uiPriority w:val="1"/>
    <w:qFormat/>
    <w:rsid w:val="00DF49FC"/>
    <w:pPr>
      <w:spacing w:line="106" w:lineRule="exact"/>
      <w:ind w:left="123"/>
      <w:outlineLvl w:val="1"/>
    </w:pPr>
    <w:rPr>
      <w:rFonts w:ascii="Arial" w:eastAsia="Arial" w:hAnsi="Arial" w:cs="Arial"/>
      <w:b/>
      <w:bCs/>
      <w:sz w:val="12"/>
      <w:szCs w:val="12"/>
    </w:rPr>
  </w:style>
  <w:style w:type="paragraph" w:styleId="Odstavecseseznamem">
    <w:name w:val="List Paragraph"/>
    <w:basedOn w:val="Normln"/>
    <w:uiPriority w:val="1"/>
    <w:qFormat/>
    <w:rsid w:val="00DF49FC"/>
    <w:pPr>
      <w:ind w:left="192" w:hanging="68"/>
    </w:pPr>
  </w:style>
  <w:style w:type="paragraph" w:customStyle="1" w:styleId="TableParagraph">
    <w:name w:val="Table Paragraph"/>
    <w:basedOn w:val="Normln"/>
    <w:uiPriority w:val="1"/>
    <w:qFormat/>
    <w:rsid w:val="00DF49FC"/>
    <w:pPr>
      <w:spacing w:line="189" w:lineRule="exact"/>
      <w:ind w:left="9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4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650"/>
    <w:rPr>
      <w:rFonts w:ascii="Tahoma" w:eastAsia="Arial Unicode MS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57683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35B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B15"/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link w:val="ZpatChar"/>
    <w:uiPriority w:val="99"/>
    <w:unhideWhenUsed/>
    <w:rsid w:val="00A35B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B15"/>
    <w:rPr>
      <w:rFonts w:ascii="Arial Unicode MS" w:eastAsia="Arial Unicode MS" w:hAnsi="Arial Unicode MS" w:cs="Arial Unicode MS"/>
    </w:rPr>
  </w:style>
  <w:style w:type="character" w:styleId="Zstupntext">
    <w:name w:val="Placeholder Text"/>
    <w:rsid w:val="00A35B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D9D52C26D04A2E89D7306F366FC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5994D-C166-47C5-B30D-81116B49DBBA}"/>
      </w:docPartPr>
      <w:docPartBody>
        <w:p w:rsidR="008B4A7C" w:rsidRDefault="00720BBC" w:rsidP="00720BBC">
          <w:pPr>
            <w:pStyle w:val="00D9D52C26D04A2E89D7306F366FCEC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746FE25A15E4EF9885016C77B74B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35678-5E87-43D7-8156-AAB66FE87952}"/>
      </w:docPartPr>
      <w:docPartBody>
        <w:p w:rsidR="008B4A7C" w:rsidRDefault="00720BBC" w:rsidP="00720BBC">
          <w:pPr>
            <w:pStyle w:val="8746FE25A15E4EF9885016C77B74BD4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D412C10ADBC44779EDFE8BB0EC3B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74146-0CE2-4290-877E-46DF680640E9}"/>
      </w:docPartPr>
      <w:docPartBody>
        <w:p w:rsidR="008B4A7C" w:rsidRDefault="00720BBC" w:rsidP="00720BBC">
          <w:pPr>
            <w:pStyle w:val="FD412C10ADBC44779EDFE8BB0EC3BFE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2BE26173CE04879BF1E3812FBE6A3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FD3EF-0777-48DC-8F14-01069A532245}"/>
      </w:docPartPr>
      <w:docPartBody>
        <w:p w:rsidR="008B4A7C" w:rsidRDefault="00720BBC" w:rsidP="00720BBC">
          <w:pPr>
            <w:pStyle w:val="92BE26173CE04879BF1E3812FBE6A3F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73"/>
    <w:rsid w:val="000B6ED0"/>
    <w:rsid w:val="00137C88"/>
    <w:rsid w:val="00170002"/>
    <w:rsid w:val="0041772C"/>
    <w:rsid w:val="00671D98"/>
    <w:rsid w:val="00720BBC"/>
    <w:rsid w:val="00815B73"/>
    <w:rsid w:val="008B4A7C"/>
    <w:rsid w:val="00A52D42"/>
    <w:rsid w:val="00B33B46"/>
    <w:rsid w:val="00C57BE5"/>
    <w:rsid w:val="00CE0A66"/>
    <w:rsid w:val="00E36883"/>
    <w:rsid w:val="00E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20BBC"/>
    <w:rPr>
      <w:color w:val="808080"/>
    </w:rPr>
  </w:style>
  <w:style w:type="paragraph" w:customStyle="1" w:styleId="5FDF4415C0B8469D86C6B6ECFF4B3F4D">
    <w:name w:val="5FDF4415C0B8469D86C6B6ECFF4B3F4D"/>
    <w:rsid w:val="00815B73"/>
  </w:style>
  <w:style w:type="paragraph" w:customStyle="1" w:styleId="045972CE7627482EB0177538786D73BF">
    <w:name w:val="045972CE7627482EB0177538786D73BF"/>
    <w:rsid w:val="00815B73"/>
  </w:style>
  <w:style w:type="paragraph" w:customStyle="1" w:styleId="C12341FD8F2F49C98FB1FF142AED2E72">
    <w:name w:val="C12341FD8F2F49C98FB1FF142AED2E72"/>
    <w:rsid w:val="00815B73"/>
  </w:style>
  <w:style w:type="paragraph" w:customStyle="1" w:styleId="A89F5AF8475C41769B4469C825925ED4">
    <w:name w:val="A89F5AF8475C41769B4469C825925ED4"/>
    <w:rsid w:val="00815B73"/>
  </w:style>
  <w:style w:type="paragraph" w:customStyle="1" w:styleId="00D9D52C26D04A2E89D7306F366FCECC">
    <w:name w:val="00D9D52C26D04A2E89D7306F366FCECC"/>
    <w:rsid w:val="00720BBC"/>
    <w:rPr>
      <w:lang w:eastAsia="cs-CZ"/>
    </w:rPr>
  </w:style>
  <w:style w:type="paragraph" w:customStyle="1" w:styleId="8746FE25A15E4EF9885016C77B74BD40">
    <w:name w:val="8746FE25A15E4EF9885016C77B74BD40"/>
    <w:rsid w:val="00720BBC"/>
    <w:rPr>
      <w:lang w:eastAsia="cs-CZ"/>
    </w:rPr>
  </w:style>
  <w:style w:type="paragraph" w:customStyle="1" w:styleId="FD412C10ADBC44779EDFE8BB0EC3BFEB">
    <w:name w:val="FD412C10ADBC44779EDFE8BB0EC3BFEB"/>
    <w:rsid w:val="00720BBC"/>
    <w:rPr>
      <w:lang w:eastAsia="cs-CZ"/>
    </w:rPr>
  </w:style>
  <w:style w:type="paragraph" w:customStyle="1" w:styleId="92BE26173CE04879BF1E3812FBE6A3F8">
    <w:name w:val="92BE26173CE04879BF1E3812FBE6A3F8"/>
    <w:rsid w:val="00720BBC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Nepejchalová Leona</cp:lastModifiedBy>
  <cp:revision>15</cp:revision>
  <dcterms:created xsi:type="dcterms:W3CDTF">2023-11-03T13:42:00Z</dcterms:created>
  <dcterms:modified xsi:type="dcterms:W3CDTF">2024-04-18T13:37:00Z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2018-09-26T00:00:00Z</vt:filetime>
  </property>
</Properties>
</file>