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7555E" w14:textId="39817207" w:rsidR="009E1C1F" w:rsidRPr="003F103A" w:rsidRDefault="00E4692C" w:rsidP="00E4692C">
      <w:pPr>
        <w:tabs>
          <w:tab w:val="left" w:pos="2893"/>
          <w:tab w:val="center" w:pos="3770"/>
        </w:tabs>
        <w:spacing w:before="104"/>
        <w:ind w:left="2096" w:right="736"/>
        <w:rPr>
          <w:rFonts w:asciiTheme="minorHAnsi" w:hAnsiTheme="minorHAnsi" w:cstheme="minorHAnsi"/>
          <w:b/>
          <w:sz w:val="28"/>
          <w:szCs w:val="28"/>
        </w:rPr>
      </w:pPr>
      <w:r w:rsidRPr="003F103A">
        <w:rPr>
          <w:rFonts w:asciiTheme="minorHAnsi" w:hAnsiTheme="minorHAnsi" w:cstheme="minorHAnsi"/>
          <w:b/>
          <w:i/>
          <w:sz w:val="28"/>
          <w:szCs w:val="28"/>
        </w:rPr>
        <w:tab/>
      </w:r>
      <w:r w:rsidRPr="003F103A">
        <w:rPr>
          <w:rFonts w:asciiTheme="minorHAnsi" w:hAnsiTheme="minorHAnsi" w:cstheme="minorHAnsi"/>
          <w:b/>
          <w:i/>
          <w:sz w:val="28"/>
          <w:szCs w:val="28"/>
        </w:rPr>
        <w:tab/>
        <w:t xml:space="preserve">             SPEED</w:t>
      </w:r>
      <w:r w:rsidRPr="003F103A">
        <w:rPr>
          <w:rFonts w:asciiTheme="minorHAnsi" w:hAnsiTheme="minorHAnsi" w:cstheme="minorHAnsi"/>
          <w:b/>
          <w:sz w:val="28"/>
          <w:szCs w:val="28"/>
        </w:rPr>
        <w:t xml:space="preserve"> T4</w:t>
      </w:r>
    </w:p>
    <w:p w14:paraId="4022EB97" w14:textId="77777777" w:rsidR="009E1C1F" w:rsidRPr="003F103A" w:rsidRDefault="00040ACE" w:rsidP="002E6C46">
      <w:pPr>
        <w:spacing w:before="94"/>
        <w:ind w:right="84"/>
        <w:jc w:val="center"/>
        <w:rPr>
          <w:rFonts w:asciiTheme="minorHAnsi" w:hAnsiTheme="minorHAnsi" w:cstheme="minorHAnsi"/>
          <w:b/>
        </w:rPr>
      </w:pPr>
      <w:r w:rsidRPr="003F103A">
        <w:rPr>
          <w:rFonts w:asciiTheme="minorHAnsi" w:hAnsiTheme="minorHAnsi" w:cstheme="minorHAnsi"/>
          <w:b/>
        </w:rPr>
        <w:t>Veterinární diagnostický test</w:t>
      </w:r>
      <w:r w:rsidRPr="003F103A">
        <w:rPr>
          <w:rFonts w:asciiTheme="minorHAnsi" w:hAnsiTheme="minorHAnsi" w:cstheme="minorHAnsi"/>
          <w:b/>
        </w:rPr>
        <w:br/>
        <w:t xml:space="preserve">Pouze pro použití </w:t>
      </w:r>
      <w:r w:rsidRPr="003F103A">
        <w:rPr>
          <w:rFonts w:asciiTheme="minorHAnsi" w:hAnsiTheme="minorHAnsi" w:cstheme="minorHAnsi"/>
          <w:b/>
          <w:i/>
        </w:rPr>
        <w:t>in vitro</w:t>
      </w:r>
    </w:p>
    <w:p w14:paraId="16B4C937" w14:textId="7C8E32E0" w:rsidR="009E1C1F" w:rsidRPr="003F103A" w:rsidRDefault="00040ACE" w:rsidP="008D5DA4">
      <w:pPr>
        <w:pStyle w:val="Zkladntext"/>
        <w:spacing w:before="126"/>
        <w:ind w:right="146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Fluorescenční imunotest pro kvantitativní měření tyroxinu (celkového T4) ve vzorcích séra nebo</w:t>
      </w:r>
      <w:r w:rsidR="003F103A" w:rsidRPr="003F103A">
        <w:rPr>
          <w:rFonts w:asciiTheme="minorHAnsi" w:hAnsiTheme="minorHAnsi" w:cstheme="minorHAnsi"/>
          <w:sz w:val="22"/>
          <w:szCs w:val="22"/>
        </w:rPr>
        <w:t> </w:t>
      </w:r>
      <w:r w:rsidRPr="003F103A">
        <w:rPr>
          <w:rFonts w:asciiTheme="minorHAnsi" w:hAnsiTheme="minorHAnsi" w:cstheme="minorHAnsi"/>
          <w:sz w:val="22"/>
          <w:szCs w:val="22"/>
        </w:rPr>
        <w:t xml:space="preserve">plazmy psů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koček.</w:t>
      </w:r>
    </w:p>
    <w:p w14:paraId="3097EFCA" w14:textId="77777777" w:rsidR="009E1C1F" w:rsidRPr="003F103A" w:rsidRDefault="00040ACE" w:rsidP="008D5DA4">
      <w:pPr>
        <w:pStyle w:val="Nadpis11"/>
        <w:numPr>
          <w:ilvl w:val="0"/>
          <w:numId w:val="3"/>
        </w:numPr>
        <w:spacing w:before="135" w:line="240" w:lineRule="auto"/>
        <w:ind w:left="284" w:hanging="169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KLINICKÉ POUŽITÍ</w:t>
      </w:r>
    </w:p>
    <w:p w14:paraId="4FD6E3AF" w14:textId="77777777" w:rsidR="009E1C1F" w:rsidRPr="003F103A" w:rsidRDefault="00040ACE" w:rsidP="008D5DA4">
      <w:pPr>
        <w:pStyle w:val="Zkladntext"/>
        <w:spacing w:before="26"/>
        <w:ind w:right="146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Hypotyreóza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 xml:space="preserve">hypertyreóza patří </w:t>
      </w:r>
      <w:r w:rsidR="002E6C46" w:rsidRPr="003F103A">
        <w:rPr>
          <w:rFonts w:asciiTheme="minorHAnsi" w:hAnsiTheme="minorHAnsi" w:cstheme="minorHAnsi"/>
          <w:sz w:val="22"/>
          <w:szCs w:val="22"/>
        </w:rPr>
        <w:t>k </w:t>
      </w:r>
      <w:r w:rsidRPr="003F103A">
        <w:rPr>
          <w:rFonts w:asciiTheme="minorHAnsi" w:hAnsiTheme="minorHAnsi" w:cstheme="minorHAnsi"/>
          <w:sz w:val="22"/>
          <w:szCs w:val="22"/>
        </w:rPr>
        <w:t xml:space="preserve">nejčastějším endokrinním poruchám </w:t>
      </w:r>
      <w:r w:rsidR="002E6C46" w:rsidRPr="003F103A">
        <w:rPr>
          <w:rFonts w:asciiTheme="minorHAnsi" w:hAnsiTheme="minorHAnsi" w:cstheme="minorHAnsi"/>
          <w:sz w:val="22"/>
          <w:szCs w:val="22"/>
        </w:rPr>
        <w:t>u </w:t>
      </w:r>
      <w:r w:rsidRPr="003F103A">
        <w:rPr>
          <w:rFonts w:asciiTheme="minorHAnsi" w:hAnsiTheme="minorHAnsi" w:cstheme="minorHAnsi"/>
          <w:sz w:val="22"/>
          <w:szCs w:val="22"/>
        </w:rPr>
        <w:t xml:space="preserve">psů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koček (</w:t>
      </w:r>
      <w:r w:rsidR="002E6C46" w:rsidRPr="003F103A">
        <w:rPr>
          <w:rFonts w:asciiTheme="minorHAnsi" w:hAnsiTheme="minorHAnsi" w:cstheme="minorHAnsi"/>
          <w:sz w:val="22"/>
          <w:szCs w:val="22"/>
        </w:rPr>
        <w:t>v </w:t>
      </w:r>
      <w:r w:rsidRPr="003F103A">
        <w:rPr>
          <w:rFonts w:asciiTheme="minorHAnsi" w:hAnsiTheme="minorHAnsi" w:cstheme="minorHAnsi"/>
          <w:sz w:val="22"/>
          <w:szCs w:val="22"/>
        </w:rPr>
        <w:t xml:space="preserve">tomto pořadí). Hormon tyroxin syntetizuje štítná žláza. Měření celkového T4 je užitečné při screeningu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diagnostice onemocnění štítné žlázy.</w:t>
      </w:r>
    </w:p>
    <w:p w14:paraId="01E99F79" w14:textId="77777777" w:rsidR="009E1C1F" w:rsidRPr="003F103A" w:rsidRDefault="00040ACE" w:rsidP="008D5DA4">
      <w:pPr>
        <w:pStyle w:val="Nadpis11"/>
        <w:numPr>
          <w:ilvl w:val="0"/>
          <w:numId w:val="3"/>
        </w:numPr>
        <w:spacing w:before="135" w:line="240" w:lineRule="auto"/>
        <w:ind w:left="284" w:hanging="169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PRINCIP</w:t>
      </w:r>
    </w:p>
    <w:p w14:paraId="7A9791D6" w14:textId="26E2FA07" w:rsidR="009E1C1F" w:rsidRPr="003F103A" w:rsidRDefault="00040ACE" w:rsidP="008D5DA4">
      <w:pPr>
        <w:pStyle w:val="Zkladntext"/>
        <w:spacing w:before="26"/>
        <w:ind w:right="146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Test Speed T4 je rychlý imunochromatografický kvantitativní test, který měří hladinu T4 </w:t>
      </w:r>
      <w:r w:rsidR="002E6C46" w:rsidRPr="003F103A">
        <w:rPr>
          <w:rFonts w:asciiTheme="minorHAnsi" w:hAnsiTheme="minorHAnsi" w:cstheme="minorHAnsi"/>
          <w:sz w:val="22"/>
          <w:szCs w:val="22"/>
        </w:rPr>
        <w:t>v </w:t>
      </w:r>
      <w:r w:rsidRPr="003F103A">
        <w:rPr>
          <w:rFonts w:asciiTheme="minorHAnsi" w:hAnsiTheme="minorHAnsi" w:cstheme="minorHAnsi"/>
          <w:sz w:val="22"/>
          <w:szCs w:val="22"/>
        </w:rPr>
        <w:t>krevním oběhu pomocí analýzy založené na laserem indukované fluorescenci.</w:t>
      </w:r>
    </w:p>
    <w:p w14:paraId="23C2B762" w14:textId="77777777" w:rsidR="009E1C1F" w:rsidRPr="003F103A" w:rsidRDefault="00040ACE" w:rsidP="008D5DA4">
      <w:pPr>
        <w:pStyle w:val="Nadpis11"/>
        <w:numPr>
          <w:ilvl w:val="0"/>
          <w:numId w:val="3"/>
        </w:numPr>
        <w:spacing w:before="135" w:line="240" w:lineRule="auto"/>
        <w:ind w:left="284" w:hanging="169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UPOZORNĚNÍ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VAROVÁNÍ</w:t>
      </w:r>
    </w:p>
    <w:p w14:paraId="0001DFBB" w14:textId="77777777" w:rsidR="009E1C1F" w:rsidRPr="003F103A" w:rsidRDefault="00040ACE" w:rsidP="008D5DA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Test mohou používat pouze veterinární lékaři.</w:t>
      </w:r>
    </w:p>
    <w:p w14:paraId="62F0B417" w14:textId="77777777" w:rsidR="009E1C1F" w:rsidRPr="003F103A" w:rsidRDefault="00040ACE" w:rsidP="008D5DA4">
      <w:pPr>
        <w:pStyle w:val="Nadpis11"/>
        <w:spacing w:before="143"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VZOREK</w:t>
      </w:r>
    </w:p>
    <w:p w14:paraId="4739C82C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Použijte pouze vzorky </w:t>
      </w:r>
      <w:r w:rsidRPr="003F103A">
        <w:rPr>
          <w:rFonts w:asciiTheme="minorHAnsi" w:hAnsiTheme="minorHAnsi" w:cstheme="minorHAnsi"/>
          <w:b/>
        </w:rPr>
        <w:t>séra nebo plazmy</w:t>
      </w:r>
      <w:r w:rsidRPr="003F103A">
        <w:rPr>
          <w:rFonts w:asciiTheme="minorHAnsi" w:hAnsiTheme="minorHAnsi" w:cstheme="minorHAnsi"/>
        </w:rPr>
        <w:t xml:space="preserve"> (Heparin-Li). Nepoužívejte plnou krev nebo vzorky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>EDTA.</w:t>
      </w:r>
    </w:p>
    <w:p w14:paraId="0EC12451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Nebyly pozorovány případy interference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>hemolýzou nebo hyperlipémií</w:t>
      </w:r>
      <w:bookmarkStart w:id="0" w:name="_GoBack"/>
      <w:bookmarkEnd w:id="0"/>
      <w:r w:rsidRPr="003F103A">
        <w:rPr>
          <w:rFonts w:asciiTheme="minorHAnsi" w:hAnsiTheme="minorHAnsi" w:cstheme="minorHAnsi"/>
        </w:rPr>
        <w:t>.</w:t>
      </w:r>
    </w:p>
    <w:p w14:paraId="229AF338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Pokud test není proveden do 60 minut, přeneste sérum nebo plazmu do suché zkumavky.</w:t>
      </w:r>
    </w:p>
    <w:p w14:paraId="2D71833C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Vzorky séra či plazmy mohou být uchovávány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>chladničce (+2 °C až +8 °C) po dobu až 7 dnů.</w:t>
      </w:r>
    </w:p>
    <w:p w14:paraId="76C4711B" w14:textId="09C46554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Má-li být vzorek séra nebo plazmy testován za více než 7 dnů, je třeba jej uchovávat </w:t>
      </w:r>
      <w:r w:rsidR="002E6C46" w:rsidRPr="003F103A">
        <w:rPr>
          <w:rFonts w:asciiTheme="minorHAnsi" w:hAnsiTheme="minorHAnsi" w:cstheme="minorHAnsi"/>
        </w:rPr>
        <w:t>v</w:t>
      </w:r>
      <w:r w:rsidR="00686616" w:rsidRPr="003F103A">
        <w:rPr>
          <w:rFonts w:asciiTheme="minorHAnsi" w:hAnsiTheme="minorHAnsi" w:cstheme="minorHAnsi"/>
        </w:rPr>
        <w:t> </w:t>
      </w:r>
      <w:r w:rsidRPr="003F103A">
        <w:rPr>
          <w:rFonts w:asciiTheme="minorHAnsi" w:hAnsiTheme="minorHAnsi" w:cstheme="minorHAnsi"/>
        </w:rPr>
        <w:t>mrazničce</w:t>
      </w:r>
      <w:r w:rsidR="00686616" w:rsidRPr="003F103A">
        <w:rPr>
          <w:rFonts w:asciiTheme="minorHAnsi" w:hAnsiTheme="minorHAnsi" w:cstheme="minorHAnsi"/>
        </w:rPr>
        <w:br/>
      </w:r>
      <w:r w:rsidRPr="003F103A">
        <w:rPr>
          <w:rFonts w:asciiTheme="minorHAnsi" w:hAnsiTheme="minorHAnsi" w:cstheme="minorHAnsi"/>
        </w:rPr>
        <w:t>(-20 °C).</w:t>
      </w:r>
    </w:p>
    <w:p w14:paraId="6934109E" w14:textId="49F9F1DB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3"/>
        <w:ind w:right="233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Vzorky, které byly uchovávány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>chladničce nebo mrazničce, nechte před analýzou ohřát na</w:t>
      </w:r>
      <w:r w:rsidR="003F103A" w:rsidRPr="003F103A">
        <w:rPr>
          <w:rFonts w:asciiTheme="minorHAnsi" w:hAnsiTheme="minorHAnsi" w:cstheme="minorHAnsi"/>
        </w:rPr>
        <w:t> </w:t>
      </w:r>
      <w:r w:rsidRPr="003F103A">
        <w:rPr>
          <w:rFonts w:asciiTheme="minorHAnsi" w:hAnsiTheme="minorHAnsi" w:cstheme="minorHAnsi"/>
        </w:rPr>
        <w:t xml:space="preserve">pokojovou teplotu (18 °C až 27 °C)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odstřeďte je.</w:t>
      </w:r>
    </w:p>
    <w:p w14:paraId="0D6E6853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1"/>
        <w:ind w:right="269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Pokud vzorek obsahuje fibrinová vlákna, může dojít </w:t>
      </w:r>
      <w:r w:rsidR="002E6C46" w:rsidRPr="003F103A">
        <w:rPr>
          <w:rFonts w:asciiTheme="minorHAnsi" w:hAnsiTheme="minorHAnsi" w:cstheme="minorHAnsi"/>
        </w:rPr>
        <w:t>k </w:t>
      </w:r>
      <w:r w:rsidRPr="003F103A">
        <w:rPr>
          <w:rFonts w:asciiTheme="minorHAnsi" w:hAnsiTheme="minorHAnsi" w:cstheme="minorHAnsi"/>
        </w:rPr>
        <w:t xml:space="preserve">ucpání pipety, což může vést ke snížení objemu aspirovaného vzorku. To může nežádoucím způsobem ovlivnit výsledek analýzy.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>takovém případě je nutné vzorek opětovně odstředit.</w:t>
      </w:r>
    </w:p>
    <w:p w14:paraId="5FA4F358" w14:textId="77777777" w:rsidR="009E1C1F" w:rsidRPr="003F103A" w:rsidRDefault="009E1C1F" w:rsidP="008D5DA4">
      <w:pPr>
        <w:pStyle w:val="Zkladn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561863D7" w14:textId="77777777" w:rsidR="009E1C1F" w:rsidRPr="003F103A" w:rsidRDefault="00040ACE" w:rsidP="008D5DA4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SPRÁVNÉ POUŽITÍ PIPETY</w:t>
      </w:r>
    </w:p>
    <w:p w14:paraId="00BB0607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7"/>
        <w:ind w:right="385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Pro zajištění správného objemu vzorku je nezbytné držet pipetu </w:t>
      </w:r>
      <w:r w:rsidR="002E6C46" w:rsidRPr="003F103A">
        <w:rPr>
          <w:rFonts w:asciiTheme="minorHAnsi" w:hAnsiTheme="minorHAnsi" w:cstheme="minorHAnsi"/>
        </w:rPr>
        <w:t>i </w:t>
      </w:r>
      <w:r w:rsidRPr="003F103A">
        <w:rPr>
          <w:rFonts w:asciiTheme="minorHAnsi" w:hAnsiTheme="minorHAnsi" w:cstheme="minorHAnsi"/>
        </w:rPr>
        <w:t xml:space="preserve">zkumavky se vzorkem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reagentem ve svislé poloze.</w:t>
      </w:r>
    </w:p>
    <w:p w14:paraId="21E2E2A2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Pro každý test použijte novou jednorázovou špičku pipety.</w:t>
      </w:r>
    </w:p>
    <w:p w14:paraId="181D1B26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3"/>
        <w:ind w:right="425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Stiskněte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držte nasávací tlačítko pipety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ponořte špičku pipety do vzorku. Dbejte na to, abyste se nedotkli stěn zkumavky. Pomalu uvolněte tlačítko pipety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konec špičky pipety nechte ponořený ve vzorku.</w:t>
      </w:r>
    </w:p>
    <w:p w14:paraId="2FA74BEC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1"/>
        <w:ind w:right="173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Vytáhněte pipetu ze vzorku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zkontrolujte, zda ve špičce nejsou vzduchové bubliny. Pokud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 xml:space="preserve">roztoku vzduchové bubliny jsou, vzorek zlikvidujte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celý postup opakujte.</w:t>
      </w:r>
    </w:p>
    <w:p w14:paraId="40186707" w14:textId="77777777" w:rsidR="009E1C1F" w:rsidRPr="003F103A" w:rsidRDefault="009E1C1F" w:rsidP="008D5DA4">
      <w:pPr>
        <w:pStyle w:val="Zkladn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033541EA" w14:textId="77777777" w:rsidR="009E1C1F" w:rsidRPr="003F103A" w:rsidRDefault="00040ACE" w:rsidP="008D5DA4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 xml:space="preserve">SMĚS VZORKU </w:t>
      </w:r>
      <w:r w:rsidR="002E6C46" w:rsidRPr="003F103A">
        <w:rPr>
          <w:rFonts w:asciiTheme="minorHAnsi" w:hAnsiTheme="minorHAnsi" w:cstheme="minorHAnsi"/>
          <w:sz w:val="22"/>
          <w:szCs w:val="22"/>
          <w:u w:val="single" w:color="2F2F81"/>
        </w:rPr>
        <w:t>A </w:t>
      </w: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REAGENTU</w:t>
      </w:r>
    </w:p>
    <w:p w14:paraId="2D2E5905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Pro zajištění odpovídající migrace částic ve vzorku musí testovací kazeta ležet na vodorovném povrchu.</w:t>
      </w:r>
    </w:p>
    <w:p w14:paraId="6619D255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3"/>
        <w:ind w:right="389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Reagenční zkumavka obsahuje standardní objem reagentu. Jakákoli odchylka od standardního objemu může vést </w:t>
      </w:r>
      <w:r w:rsidR="002E6C46" w:rsidRPr="003F103A">
        <w:rPr>
          <w:rFonts w:asciiTheme="minorHAnsi" w:hAnsiTheme="minorHAnsi" w:cstheme="minorHAnsi"/>
        </w:rPr>
        <w:t>k </w:t>
      </w:r>
      <w:r w:rsidRPr="003F103A">
        <w:rPr>
          <w:rFonts w:asciiTheme="minorHAnsi" w:hAnsiTheme="minorHAnsi" w:cstheme="minorHAnsi"/>
        </w:rPr>
        <w:t>chybným výsledkům testu.</w:t>
      </w:r>
    </w:p>
    <w:p w14:paraId="07A6FC98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Neuchovávejte směs pro pozdější analýzu.</w:t>
      </w:r>
    </w:p>
    <w:p w14:paraId="2C351468" w14:textId="77777777" w:rsidR="009E1C1F" w:rsidRPr="003F103A" w:rsidRDefault="00040ACE" w:rsidP="008D5DA4">
      <w:pPr>
        <w:pStyle w:val="Nadpis11"/>
        <w:numPr>
          <w:ilvl w:val="0"/>
          <w:numId w:val="3"/>
        </w:numPr>
        <w:spacing w:before="135" w:line="240" w:lineRule="auto"/>
        <w:ind w:left="284" w:hanging="169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DOPORUČENÍ</w:t>
      </w:r>
    </w:p>
    <w:p w14:paraId="0B5CB4AC" w14:textId="6C9EB53C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Před použitím prvního testu </w:t>
      </w:r>
      <w:r w:rsidR="002E6C46" w:rsidRPr="003F103A">
        <w:rPr>
          <w:rFonts w:asciiTheme="minorHAnsi" w:hAnsiTheme="minorHAnsi" w:cstheme="minorHAnsi"/>
        </w:rPr>
        <w:t>z </w:t>
      </w:r>
      <w:r w:rsidRPr="003F103A">
        <w:rPr>
          <w:rFonts w:asciiTheme="minorHAnsi" w:hAnsiTheme="minorHAnsi" w:cstheme="minorHAnsi"/>
        </w:rPr>
        <w:t xml:space="preserve">každého balení (krabičky) zaregistrujte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>analyzátoru Speed Reader čip pro kalibraci šarže.</w:t>
      </w:r>
    </w:p>
    <w:p w14:paraId="7E8BEA9F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lastRenderedPageBreak/>
        <w:t xml:space="preserve">Doba použitelnosti je uvedena na balení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na každém sáčku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>testem.</w:t>
      </w:r>
    </w:p>
    <w:p w14:paraId="58B4C22F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Testy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reagenty uchovávejte při teplotě od +2 °C do +8 °C.</w:t>
      </w:r>
    </w:p>
    <w:p w14:paraId="298A589F" w14:textId="2776492E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3"/>
        <w:ind w:right="464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Vzorek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veškeré materiály použité při testování je třeba považovat za potenciálně infekční. Jako takové musí být zlikvidovány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 xml:space="preserve">souladu </w:t>
      </w:r>
      <w:r w:rsidR="002E6C46" w:rsidRPr="003F103A">
        <w:rPr>
          <w:rFonts w:asciiTheme="minorHAnsi" w:hAnsiTheme="minorHAnsi" w:cstheme="minorHAnsi"/>
        </w:rPr>
        <w:t>s</w:t>
      </w:r>
      <w:r w:rsidR="00111FDE" w:rsidRPr="003F103A">
        <w:rPr>
          <w:rFonts w:asciiTheme="minorHAnsi" w:hAnsiTheme="minorHAnsi" w:cstheme="minorHAnsi"/>
        </w:rPr>
        <w:t> </w:t>
      </w:r>
      <w:r w:rsidRPr="003F103A">
        <w:rPr>
          <w:rFonts w:asciiTheme="minorHAnsi" w:hAnsiTheme="minorHAnsi" w:cstheme="minorHAnsi"/>
        </w:rPr>
        <w:t>místními předpisy.</w:t>
      </w:r>
    </w:p>
    <w:p w14:paraId="3B76938B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Používejte vhodné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čisté ochranné prostředky (rukavice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plášť).</w:t>
      </w:r>
    </w:p>
    <w:p w14:paraId="4F0715C9" w14:textId="77777777" w:rsidR="009E1C1F" w:rsidRPr="003F103A" w:rsidRDefault="002E6C46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3"/>
        <w:ind w:right="307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V </w:t>
      </w:r>
      <w:r w:rsidR="00040ACE" w:rsidRPr="003F103A">
        <w:rPr>
          <w:rFonts w:asciiTheme="minorHAnsi" w:hAnsiTheme="minorHAnsi" w:cstheme="minorHAnsi"/>
        </w:rPr>
        <w:t xml:space="preserve">případě potřísnění pokožky nebo zasažení očí reagentem postižené místo neprodleně opláchněte čistou vodou </w:t>
      </w:r>
      <w:r w:rsidRPr="003F103A">
        <w:rPr>
          <w:rFonts w:asciiTheme="minorHAnsi" w:hAnsiTheme="minorHAnsi" w:cstheme="minorHAnsi"/>
        </w:rPr>
        <w:t>a </w:t>
      </w:r>
      <w:r w:rsidR="00040ACE" w:rsidRPr="003F103A">
        <w:rPr>
          <w:rFonts w:asciiTheme="minorHAnsi" w:hAnsiTheme="minorHAnsi" w:cstheme="minorHAnsi"/>
        </w:rPr>
        <w:t>vyhledejte lékařskou pomoc.</w:t>
      </w:r>
    </w:p>
    <w:p w14:paraId="5DDB9523" w14:textId="77777777" w:rsidR="009E1C1F" w:rsidRPr="003F103A" w:rsidRDefault="00040ACE" w:rsidP="008D5DA4">
      <w:pPr>
        <w:pStyle w:val="Nadpis11"/>
        <w:numPr>
          <w:ilvl w:val="0"/>
          <w:numId w:val="3"/>
        </w:numPr>
        <w:spacing w:before="135" w:line="240" w:lineRule="auto"/>
        <w:ind w:left="284" w:hanging="169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POSTUP TESTOVÁNÍ</w:t>
      </w:r>
    </w:p>
    <w:p w14:paraId="4BF546BE" w14:textId="69607037" w:rsidR="009E1C1F" w:rsidRPr="003F103A" w:rsidRDefault="00040ACE" w:rsidP="008D5DA4">
      <w:pPr>
        <w:pStyle w:val="Zkladntext"/>
        <w:spacing w:before="26"/>
        <w:ind w:right="146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Jelikož test Speed T4 nelze odečítat vizuálně, je nutné jej interpretovat výhradně prostřednictvím analyzátoru Speed Reader. Podrobné pokyny naleznete </w:t>
      </w:r>
      <w:r w:rsidR="002E6C46" w:rsidRPr="003F103A">
        <w:rPr>
          <w:rFonts w:asciiTheme="minorHAnsi" w:hAnsiTheme="minorHAnsi" w:cstheme="minorHAnsi"/>
          <w:sz w:val="22"/>
          <w:szCs w:val="22"/>
        </w:rPr>
        <w:t>v </w:t>
      </w:r>
      <w:r w:rsidRPr="003F103A">
        <w:rPr>
          <w:rFonts w:asciiTheme="minorHAnsi" w:hAnsiTheme="minorHAnsi" w:cstheme="minorHAnsi"/>
          <w:sz w:val="22"/>
          <w:szCs w:val="22"/>
        </w:rPr>
        <w:t xml:space="preserve">návodu </w:t>
      </w:r>
      <w:r w:rsidR="002E6C46" w:rsidRPr="003F103A">
        <w:rPr>
          <w:rFonts w:asciiTheme="minorHAnsi" w:hAnsiTheme="minorHAnsi" w:cstheme="minorHAnsi"/>
          <w:sz w:val="22"/>
          <w:szCs w:val="22"/>
        </w:rPr>
        <w:t>k </w:t>
      </w:r>
      <w:r w:rsidRPr="003F103A">
        <w:rPr>
          <w:rFonts w:asciiTheme="minorHAnsi" w:hAnsiTheme="minorHAnsi" w:cstheme="minorHAnsi"/>
          <w:sz w:val="22"/>
          <w:szCs w:val="22"/>
        </w:rPr>
        <w:t>použití přístroje Speed Reader.</w:t>
      </w:r>
    </w:p>
    <w:p w14:paraId="1BA7B780" w14:textId="77777777" w:rsidR="009E1C1F" w:rsidRPr="003F103A" w:rsidRDefault="00040ACE" w:rsidP="008D5DA4">
      <w:pPr>
        <w:pStyle w:val="Nadpis11"/>
        <w:numPr>
          <w:ilvl w:val="0"/>
          <w:numId w:val="2"/>
        </w:numPr>
        <w:tabs>
          <w:tab w:val="left" w:pos="183"/>
        </w:tabs>
        <w:spacing w:before="88" w:line="240" w:lineRule="auto"/>
        <w:ind w:left="182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Nepoužívejte testovací kazety, reagenční zkumavky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kalibrační čipy různých šarží.</w:t>
      </w:r>
    </w:p>
    <w:p w14:paraId="0C376020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  <w:b/>
        </w:rPr>
      </w:pPr>
      <w:r w:rsidRPr="003F103A">
        <w:rPr>
          <w:rFonts w:asciiTheme="minorHAnsi" w:hAnsiTheme="minorHAnsi" w:cstheme="minorHAnsi"/>
        </w:rPr>
        <w:t xml:space="preserve">Reagent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testovací kazeta musí být </w:t>
      </w:r>
      <w:r w:rsidRPr="003F103A">
        <w:rPr>
          <w:rFonts w:asciiTheme="minorHAnsi" w:hAnsiTheme="minorHAnsi" w:cstheme="minorHAnsi"/>
          <w:b/>
        </w:rPr>
        <w:t>nejméně 30 minut před použitím</w:t>
      </w:r>
      <w:r w:rsidRPr="003F103A">
        <w:rPr>
          <w:rFonts w:asciiTheme="minorHAnsi" w:hAnsiTheme="minorHAnsi" w:cstheme="minorHAnsi"/>
        </w:rPr>
        <w:t xml:space="preserve">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 xml:space="preserve">prostředí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>pokojovou teplotou (18 °C až 27 °C).</w:t>
      </w:r>
    </w:p>
    <w:p w14:paraId="436F6F10" w14:textId="77777777" w:rsidR="009E1C1F" w:rsidRPr="003F103A" w:rsidRDefault="00040ACE" w:rsidP="008D5DA4">
      <w:pPr>
        <w:pStyle w:val="Nadpis11"/>
        <w:numPr>
          <w:ilvl w:val="0"/>
          <w:numId w:val="3"/>
        </w:numPr>
        <w:spacing w:before="135" w:line="240" w:lineRule="auto"/>
        <w:ind w:left="284" w:hanging="169"/>
        <w:rPr>
          <w:rFonts w:asciiTheme="minorHAnsi" w:hAnsiTheme="minorHAnsi" w:cstheme="minorHAnsi"/>
          <w:b w:val="0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MATERIÁL PRO JEDEN TEST</w:t>
      </w:r>
    </w:p>
    <w:p w14:paraId="25047E93" w14:textId="77777777" w:rsidR="009E1C1F" w:rsidRPr="003F103A" w:rsidRDefault="00040ACE" w:rsidP="008D5DA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1 testovací kazeta, 1 zkumavka </w:t>
      </w:r>
      <w:r w:rsidR="002E6C46" w:rsidRPr="003F103A">
        <w:rPr>
          <w:rFonts w:asciiTheme="minorHAnsi" w:hAnsiTheme="minorHAnsi" w:cstheme="minorHAnsi"/>
          <w:sz w:val="22"/>
          <w:szCs w:val="22"/>
        </w:rPr>
        <w:t>s </w:t>
      </w:r>
      <w:r w:rsidRPr="003F103A">
        <w:rPr>
          <w:rFonts w:asciiTheme="minorHAnsi" w:hAnsiTheme="minorHAnsi" w:cstheme="minorHAnsi"/>
          <w:sz w:val="22"/>
          <w:szCs w:val="22"/>
        </w:rPr>
        <w:t xml:space="preserve">reagentem, 1 kapátko, 1 špička pipety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1 pipeta 50 μl.</w:t>
      </w:r>
    </w:p>
    <w:p w14:paraId="38788500" w14:textId="6D8788B3" w:rsidR="009E1C1F" w:rsidRPr="003F103A" w:rsidRDefault="00040ACE" w:rsidP="008D5DA4">
      <w:pPr>
        <w:pStyle w:val="Nadpis11"/>
        <w:spacing w:before="143"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PŘÍPRAVA ANALYZÁTORU SPEED READER</w:t>
      </w:r>
    </w:p>
    <w:p w14:paraId="0293224D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  <w:b/>
        </w:rPr>
      </w:pPr>
      <w:r w:rsidRPr="003F103A">
        <w:rPr>
          <w:rFonts w:asciiTheme="minorHAnsi" w:hAnsiTheme="minorHAnsi" w:cstheme="minorHAnsi"/>
          <w:b/>
        </w:rPr>
        <w:t xml:space="preserve">Před zahájením testu </w:t>
      </w:r>
      <w:r w:rsidRPr="003F103A">
        <w:rPr>
          <w:rFonts w:asciiTheme="minorHAnsi" w:hAnsiTheme="minorHAnsi" w:cstheme="minorHAnsi"/>
        </w:rPr>
        <w:t>klepněte na tlačítko "New Test" (Nový test) na hlavní obrazovce.</w:t>
      </w:r>
    </w:p>
    <w:p w14:paraId="61979A85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Postupujte podle pokynů na obrazovce.</w:t>
      </w:r>
    </w:p>
    <w:p w14:paraId="100FC327" w14:textId="77777777" w:rsidR="009E1C1F" w:rsidRPr="003F103A" w:rsidRDefault="00040ACE" w:rsidP="008D5DA4">
      <w:pPr>
        <w:pStyle w:val="Nadpis11"/>
        <w:spacing w:before="143"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PŘENESENÍ VZORKU</w:t>
      </w:r>
    </w:p>
    <w:p w14:paraId="47BE69B0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Špičkou kapátka protrhněte hliníkovou fólii zkumavky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>reagentem.</w:t>
      </w:r>
    </w:p>
    <w:p w14:paraId="6EE95974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Na pipetu nasaďte novou jednorázovou špičku.</w:t>
      </w:r>
    </w:p>
    <w:p w14:paraId="0919B327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spacing w:before="23"/>
        <w:ind w:right="142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  <w:b/>
        </w:rPr>
        <w:t xml:space="preserve">Přeneste 50 μl vzorku do zkumavky </w:t>
      </w:r>
      <w:r w:rsidR="002E6C46" w:rsidRPr="003F103A">
        <w:rPr>
          <w:rFonts w:asciiTheme="minorHAnsi" w:hAnsiTheme="minorHAnsi" w:cstheme="minorHAnsi"/>
          <w:b/>
        </w:rPr>
        <w:t>s </w:t>
      </w:r>
      <w:r w:rsidRPr="003F103A">
        <w:rPr>
          <w:rFonts w:asciiTheme="minorHAnsi" w:hAnsiTheme="minorHAnsi" w:cstheme="minorHAnsi"/>
          <w:b/>
        </w:rPr>
        <w:t>reagentem</w:t>
      </w:r>
      <w:r w:rsidRPr="003F103A">
        <w:rPr>
          <w:rFonts w:asciiTheme="minorHAnsi" w:hAnsiTheme="minorHAnsi" w:cstheme="minorHAnsi"/>
        </w:rPr>
        <w:t xml:space="preserve"> </w:t>
      </w:r>
      <w:r w:rsidR="002E6C46" w:rsidRPr="003F103A">
        <w:rPr>
          <w:rFonts w:asciiTheme="minorHAnsi" w:hAnsiTheme="minorHAnsi" w:cstheme="minorHAnsi"/>
        </w:rPr>
        <w:t>v </w:t>
      </w:r>
      <w:r w:rsidRPr="003F103A">
        <w:rPr>
          <w:rFonts w:asciiTheme="minorHAnsi" w:hAnsiTheme="minorHAnsi" w:cstheme="minorHAnsi"/>
        </w:rPr>
        <w:t xml:space="preserve">souladu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 xml:space="preserve">pokyny pro správné použití pipety. Dbejte na to, abyste se špičkou pipety nedotkli stěn zkumavky </w:t>
      </w:r>
      <w:r w:rsidR="002E6C46" w:rsidRPr="003F103A">
        <w:rPr>
          <w:rFonts w:asciiTheme="minorHAnsi" w:hAnsiTheme="minorHAnsi" w:cstheme="minorHAnsi"/>
        </w:rPr>
        <w:t>s </w:t>
      </w:r>
      <w:r w:rsidRPr="003F103A">
        <w:rPr>
          <w:rFonts w:asciiTheme="minorHAnsi" w:hAnsiTheme="minorHAnsi" w:cstheme="minorHAnsi"/>
        </w:rPr>
        <w:t>reagentem.</w:t>
      </w:r>
    </w:p>
    <w:p w14:paraId="39FA83F5" w14:textId="77777777" w:rsidR="009E1C1F" w:rsidRPr="003F103A" w:rsidRDefault="00040ACE" w:rsidP="008D5DA4">
      <w:pPr>
        <w:pStyle w:val="Nadpis11"/>
        <w:numPr>
          <w:ilvl w:val="0"/>
          <w:numId w:val="2"/>
        </w:numPr>
        <w:tabs>
          <w:tab w:val="left" w:pos="183"/>
        </w:tabs>
        <w:spacing w:line="240" w:lineRule="auto"/>
        <w:ind w:left="182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Kapátko zasuňte do zkumavky </w:t>
      </w:r>
      <w:r w:rsidR="002E6C46" w:rsidRPr="003F103A">
        <w:rPr>
          <w:rFonts w:asciiTheme="minorHAnsi" w:hAnsiTheme="minorHAnsi" w:cstheme="minorHAnsi"/>
          <w:sz w:val="22"/>
          <w:szCs w:val="22"/>
        </w:rPr>
        <w:t>s </w:t>
      </w:r>
      <w:r w:rsidRPr="003F103A">
        <w:rPr>
          <w:rFonts w:asciiTheme="minorHAnsi" w:hAnsiTheme="minorHAnsi" w:cstheme="minorHAnsi"/>
          <w:sz w:val="22"/>
          <w:szCs w:val="22"/>
        </w:rPr>
        <w:t>reagentem, čímž ji těsně uzavřete.</w:t>
      </w:r>
    </w:p>
    <w:p w14:paraId="5AA52EF6" w14:textId="77777777" w:rsidR="009E1C1F" w:rsidRPr="003F103A" w:rsidRDefault="00040ACE" w:rsidP="008D5DA4">
      <w:pPr>
        <w:pStyle w:val="Odstavecseseznamem"/>
        <w:numPr>
          <w:ilvl w:val="0"/>
          <w:numId w:val="2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  <w:b/>
        </w:rPr>
        <w:t>Pomalu promíchejte</w:t>
      </w:r>
      <w:r w:rsidRPr="003F103A">
        <w:rPr>
          <w:rFonts w:asciiTheme="minorHAnsi" w:hAnsiTheme="minorHAnsi" w:cstheme="minorHAnsi"/>
        </w:rPr>
        <w:t xml:space="preserve"> obsah zkumavky tak, že ji </w:t>
      </w:r>
      <w:r w:rsidRPr="003F103A">
        <w:rPr>
          <w:rFonts w:asciiTheme="minorHAnsi" w:hAnsiTheme="minorHAnsi" w:cstheme="minorHAnsi"/>
          <w:b/>
        </w:rPr>
        <w:t>nejméně pětkrát</w:t>
      </w:r>
      <w:r w:rsidRPr="003F103A">
        <w:rPr>
          <w:rFonts w:asciiTheme="minorHAnsi" w:hAnsiTheme="minorHAnsi" w:cstheme="minorHAnsi"/>
        </w:rPr>
        <w:t xml:space="preserve"> převrátíte.</w:t>
      </w:r>
      <w:r w:rsidRPr="003F103A">
        <w:rPr>
          <w:rFonts w:asciiTheme="minorHAnsi" w:hAnsiTheme="minorHAnsi" w:cstheme="minorHAnsi"/>
          <w:b/>
        </w:rPr>
        <w:t xml:space="preserve"> </w:t>
      </w:r>
      <w:r w:rsidRPr="003F103A">
        <w:rPr>
          <w:rFonts w:asciiTheme="minorHAnsi" w:hAnsiTheme="minorHAnsi" w:cstheme="minorHAnsi"/>
        </w:rPr>
        <w:t>NEPROTŘEPÁVAT.</w:t>
      </w:r>
    </w:p>
    <w:p w14:paraId="0E076EDC" w14:textId="372985A1" w:rsidR="009E1C1F" w:rsidRPr="003F103A" w:rsidRDefault="00040ACE" w:rsidP="008D5DA4">
      <w:pPr>
        <w:spacing w:before="23"/>
        <w:ind w:left="115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  <w:b/>
        </w:rPr>
        <w:t>-</w:t>
      </w:r>
      <w:r w:rsidRPr="003F103A">
        <w:rPr>
          <w:rFonts w:asciiTheme="minorHAnsi" w:hAnsiTheme="minorHAnsi" w:cstheme="minorHAnsi"/>
        </w:rPr>
        <w:t xml:space="preserve"> Směs vzorku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 xml:space="preserve">činidla nechte </w:t>
      </w:r>
      <w:r w:rsidRPr="003F103A">
        <w:rPr>
          <w:rFonts w:asciiTheme="minorHAnsi" w:hAnsiTheme="minorHAnsi" w:cstheme="minorHAnsi"/>
          <w:b/>
        </w:rPr>
        <w:t xml:space="preserve">stát po dobu 5 minut. Tuto lhůtu je nutné přesně dodržet. </w:t>
      </w:r>
      <w:r w:rsidR="003F103A" w:rsidRPr="003F103A">
        <w:rPr>
          <w:rFonts w:asciiTheme="minorHAnsi" w:hAnsiTheme="minorHAnsi" w:cstheme="minorHAnsi"/>
        </w:rPr>
        <w:t>Po </w:t>
      </w:r>
      <w:r w:rsidRPr="003F103A">
        <w:rPr>
          <w:rFonts w:asciiTheme="minorHAnsi" w:hAnsiTheme="minorHAnsi" w:cstheme="minorHAnsi"/>
        </w:rPr>
        <w:t>5</w:t>
      </w:r>
      <w:r w:rsidR="003F103A" w:rsidRPr="003F103A">
        <w:rPr>
          <w:rFonts w:asciiTheme="minorHAnsi" w:hAnsiTheme="minorHAnsi" w:cstheme="minorHAnsi"/>
        </w:rPr>
        <w:t> </w:t>
      </w:r>
      <w:r w:rsidRPr="003F103A">
        <w:rPr>
          <w:rFonts w:asciiTheme="minorHAnsi" w:hAnsiTheme="minorHAnsi" w:cstheme="minorHAnsi"/>
        </w:rPr>
        <w:t xml:space="preserve">minutách směs vzorku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činidla okamžitě použijte.</w:t>
      </w:r>
    </w:p>
    <w:p w14:paraId="4E349914" w14:textId="77777777" w:rsidR="009E1C1F" w:rsidRPr="003F103A" w:rsidRDefault="009E1C1F" w:rsidP="008D5DA4">
      <w:pPr>
        <w:pStyle w:val="Zkladntext"/>
        <w:spacing w:before="13"/>
        <w:ind w:left="0"/>
        <w:rPr>
          <w:rFonts w:asciiTheme="minorHAnsi" w:hAnsiTheme="minorHAnsi" w:cstheme="minorHAnsi"/>
          <w:sz w:val="22"/>
          <w:szCs w:val="22"/>
        </w:rPr>
      </w:pPr>
    </w:p>
    <w:p w14:paraId="52E18615" w14:textId="77777777" w:rsidR="009E1C1F" w:rsidRPr="003F103A" w:rsidRDefault="00040ACE" w:rsidP="008D5DA4">
      <w:pPr>
        <w:pStyle w:val="Nadpis1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APLIKACE VZORKU</w:t>
      </w:r>
    </w:p>
    <w:p w14:paraId="30E1AA19" w14:textId="77777777" w:rsidR="009E1C1F" w:rsidRPr="003F103A" w:rsidRDefault="00040ACE" w:rsidP="008D5DA4">
      <w:pPr>
        <w:pStyle w:val="Odstavecseseznamem"/>
        <w:numPr>
          <w:ilvl w:val="0"/>
          <w:numId w:val="1"/>
        </w:numPr>
        <w:tabs>
          <w:tab w:val="left" w:pos="183"/>
        </w:tabs>
        <w:spacing w:before="27"/>
        <w:ind w:right="189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 xml:space="preserve">Sejměte plastový kryt </w:t>
      </w:r>
      <w:r w:rsidR="002E6C46" w:rsidRPr="003F103A">
        <w:rPr>
          <w:rFonts w:asciiTheme="minorHAnsi" w:hAnsiTheme="minorHAnsi" w:cstheme="minorHAnsi"/>
        </w:rPr>
        <w:t>z </w:t>
      </w:r>
      <w:r w:rsidRPr="003F103A">
        <w:rPr>
          <w:rFonts w:asciiTheme="minorHAnsi" w:hAnsiTheme="minorHAnsi" w:cstheme="minorHAnsi"/>
        </w:rPr>
        <w:t xml:space="preserve">kapátka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  <w:b/>
        </w:rPr>
        <w:t>první 2 kapky</w:t>
      </w:r>
      <w:r w:rsidRPr="003F103A">
        <w:rPr>
          <w:rFonts w:asciiTheme="minorHAnsi" w:hAnsiTheme="minorHAnsi" w:cstheme="minorHAnsi"/>
        </w:rPr>
        <w:t xml:space="preserve"> směsi </w:t>
      </w:r>
      <w:r w:rsidRPr="003F103A">
        <w:rPr>
          <w:rFonts w:asciiTheme="minorHAnsi" w:hAnsiTheme="minorHAnsi" w:cstheme="minorHAnsi"/>
          <w:b/>
        </w:rPr>
        <w:t>zlikvidujte</w:t>
      </w:r>
      <w:r w:rsidRPr="003F103A">
        <w:rPr>
          <w:rFonts w:asciiTheme="minorHAnsi" w:hAnsiTheme="minorHAnsi" w:cstheme="minorHAnsi"/>
        </w:rPr>
        <w:t>, abyste propláchli konec kapátka.</w:t>
      </w:r>
    </w:p>
    <w:p w14:paraId="5C474C15" w14:textId="272C5EA7" w:rsidR="009E1C1F" w:rsidRPr="003F103A" w:rsidRDefault="002E6C46" w:rsidP="008D5DA4">
      <w:pPr>
        <w:pStyle w:val="Odstavecseseznamem"/>
        <w:numPr>
          <w:ilvl w:val="0"/>
          <w:numId w:val="1"/>
        </w:numPr>
        <w:tabs>
          <w:tab w:val="left" w:pos="183"/>
        </w:tabs>
        <w:spacing w:before="1"/>
        <w:ind w:right="138" w:firstLine="0"/>
        <w:rPr>
          <w:rFonts w:asciiTheme="minorHAnsi" w:hAnsiTheme="minorHAnsi" w:cstheme="minorHAnsi"/>
          <w:b/>
        </w:rPr>
      </w:pPr>
      <w:r w:rsidRPr="003F103A">
        <w:rPr>
          <w:rFonts w:asciiTheme="minorHAnsi" w:hAnsiTheme="minorHAnsi" w:cstheme="minorHAnsi"/>
        </w:rPr>
        <w:t>Z </w:t>
      </w:r>
      <w:r w:rsidR="00040ACE" w:rsidRPr="003F103A">
        <w:rPr>
          <w:rFonts w:asciiTheme="minorHAnsi" w:hAnsiTheme="minorHAnsi" w:cstheme="minorHAnsi"/>
        </w:rPr>
        <w:t xml:space="preserve">přihrádky analyzátoru Speed Reader vyjměte testovací kazetu </w:t>
      </w:r>
      <w:r w:rsidRPr="003F103A">
        <w:rPr>
          <w:rFonts w:asciiTheme="minorHAnsi" w:hAnsiTheme="minorHAnsi" w:cstheme="minorHAnsi"/>
        </w:rPr>
        <w:t>a </w:t>
      </w:r>
      <w:r w:rsidR="00040ACE" w:rsidRPr="003F103A">
        <w:rPr>
          <w:rFonts w:asciiTheme="minorHAnsi" w:hAnsiTheme="minorHAnsi" w:cstheme="minorHAnsi"/>
        </w:rPr>
        <w:t>do jamky na vzorek kápněte 2</w:t>
      </w:r>
      <w:r w:rsidR="003F103A" w:rsidRPr="003F103A">
        <w:rPr>
          <w:rFonts w:asciiTheme="minorHAnsi" w:hAnsiTheme="minorHAnsi" w:cstheme="minorHAnsi"/>
        </w:rPr>
        <w:t> </w:t>
      </w:r>
      <w:r w:rsidR="00040ACE" w:rsidRPr="003F103A">
        <w:rPr>
          <w:rFonts w:asciiTheme="minorHAnsi" w:hAnsiTheme="minorHAnsi" w:cstheme="minorHAnsi"/>
        </w:rPr>
        <w:t xml:space="preserve">kapky směsi. Kapátko se zkumavkou musí být při aplikaci </w:t>
      </w:r>
      <w:r w:rsidR="00040ACE" w:rsidRPr="003F103A">
        <w:rPr>
          <w:rFonts w:asciiTheme="minorHAnsi" w:hAnsiTheme="minorHAnsi" w:cstheme="minorHAnsi"/>
          <w:b/>
        </w:rPr>
        <w:t>přesně</w:t>
      </w:r>
      <w:r w:rsidR="00040ACE" w:rsidRPr="003F103A">
        <w:rPr>
          <w:rFonts w:asciiTheme="minorHAnsi" w:hAnsiTheme="minorHAnsi" w:cstheme="minorHAnsi"/>
        </w:rPr>
        <w:t xml:space="preserve"> </w:t>
      </w:r>
      <w:r w:rsidR="00040ACE" w:rsidRPr="003F103A">
        <w:rPr>
          <w:rFonts w:asciiTheme="minorHAnsi" w:hAnsiTheme="minorHAnsi" w:cstheme="minorHAnsi"/>
          <w:b/>
        </w:rPr>
        <w:t>ve svislé poloze</w:t>
      </w:r>
      <w:r w:rsidR="00040ACE" w:rsidRPr="003F103A">
        <w:rPr>
          <w:rFonts w:asciiTheme="minorHAnsi" w:hAnsiTheme="minorHAnsi" w:cstheme="minorHAnsi"/>
        </w:rPr>
        <w:t>.</w:t>
      </w:r>
    </w:p>
    <w:p w14:paraId="363EBB03" w14:textId="77777777" w:rsidR="009E1C1F" w:rsidRPr="003F103A" w:rsidRDefault="009E1C1F" w:rsidP="008D5DA4">
      <w:pPr>
        <w:pStyle w:val="Zkladntext"/>
        <w:spacing w:before="3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F9945D2" w14:textId="77777777" w:rsidR="009E1C1F" w:rsidRPr="003F103A" w:rsidRDefault="00040ACE" w:rsidP="008D5DA4">
      <w:pPr>
        <w:pStyle w:val="Nadpis11"/>
        <w:spacing w:before="1"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ODEČET VÝSLEDKU</w:t>
      </w:r>
    </w:p>
    <w:p w14:paraId="56185A10" w14:textId="3BC901A0" w:rsidR="009E1C1F" w:rsidRPr="003F103A" w:rsidRDefault="00040ACE" w:rsidP="008D5DA4">
      <w:pPr>
        <w:pStyle w:val="Odstavecseseznamem"/>
        <w:numPr>
          <w:ilvl w:val="0"/>
          <w:numId w:val="1"/>
        </w:numPr>
        <w:tabs>
          <w:tab w:val="left" w:pos="183"/>
        </w:tabs>
        <w:spacing w:before="27"/>
        <w:ind w:right="164" w:firstLine="0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Poté, co se na obrazovce analyzátoru objeví příslušný pokyn, zasuňte testovací kazetu do</w:t>
      </w:r>
      <w:r w:rsidR="003F103A" w:rsidRPr="003F103A">
        <w:rPr>
          <w:rFonts w:asciiTheme="minorHAnsi" w:hAnsiTheme="minorHAnsi" w:cstheme="minorHAnsi"/>
        </w:rPr>
        <w:t> </w:t>
      </w:r>
      <w:r w:rsidRPr="003F103A">
        <w:rPr>
          <w:rFonts w:asciiTheme="minorHAnsi" w:hAnsiTheme="minorHAnsi" w:cstheme="minorHAnsi"/>
        </w:rPr>
        <w:t xml:space="preserve">přihrádky na vkládání testů podle šipky vyznačené na kazetě (vzorkem napřed) </w:t>
      </w:r>
      <w:r w:rsidR="002E6C46" w:rsidRPr="003F103A">
        <w:rPr>
          <w:rFonts w:asciiTheme="minorHAnsi" w:hAnsiTheme="minorHAnsi" w:cstheme="minorHAnsi"/>
        </w:rPr>
        <w:t>a </w:t>
      </w:r>
      <w:r w:rsidRPr="003F103A">
        <w:rPr>
          <w:rFonts w:asciiTheme="minorHAnsi" w:hAnsiTheme="minorHAnsi" w:cstheme="minorHAnsi"/>
        </w:rPr>
        <w:t>postupujte podle dalších instrukcí na obrazovce analyzátoru.</w:t>
      </w:r>
    </w:p>
    <w:p w14:paraId="7F43EA4E" w14:textId="77777777" w:rsidR="009E1C1F" w:rsidRPr="003F103A" w:rsidRDefault="00040ACE" w:rsidP="008D5DA4">
      <w:pPr>
        <w:pStyle w:val="Odstavecseseznamem"/>
        <w:numPr>
          <w:ilvl w:val="0"/>
          <w:numId w:val="1"/>
        </w:numPr>
        <w:tabs>
          <w:tab w:val="left" w:pos="183"/>
        </w:tabs>
        <w:ind w:left="182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</w:rPr>
        <w:t>Na obrazovce přístroje se zobrazí výsledek.</w:t>
      </w:r>
    </w:p>
    <w:p w14:paraId="6B80B203" w14:textId="77777777" w:rsidR="009E1C1F" w:rsidRPr="003F103A" w:rsidRDefault="00040ACE" w:rsidP="008D5DA4">
      <w:pPr>
        <w:pStyle w:val="Nadpis11"/>
        <w:spacing w:before="143" w:line="240" w:lineRule="auto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  <w:u w:val="single" w:color="2F2F81"/>
        </w:rPr>
        <w:t>INTERPRETACE</w:t>
      </w:r>
    </w:p>
    <w:p w14:paraId="433A0AB6" w14:textId="02066157" w:rsidR="009E1C1F" w:rsidRPr="003F103A" w:rsidRDefault="00040ACE" w:rsidP="008D5DA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Celková koncentrace T4 se měří </w:t>
      </w:r>
      <w:r w:rsidR="002E6C46" w:rsidRPr="003F103A">
        <w:rPr>
          <w:rFonts w:asciiTheme="minorHAnsi" w:hAnsiTheme="minorHAnsi" w:cstheme="minorHAnsi"/>
          <w:sz w:val="22"/>
          <w:szCs w:val="22"/>
        </w:rPr>
        <w:t>v </w:t>
      </w:r>
      <w:r w:rsidRPr="003F103A">
        <w:rPr>
          <w:rFonts w:asciiTheme="minorHAnsi" w:hAnsiTheme="minorHAnsi" w:cstheme="minorHAnsi"/>
          <w:sz w:val="22"/>
          <w:szCs w:val="22"/>
        </w:rPr>
        <w:t xml:space="preserve">nmol/l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 xml:space="preserve">μg/dl – Dynamický rozsah: 8 nmol/l až 90 nmol/l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0,62</w:t>
      </w:r>
      <w:r w:rsidR="003F103A" w:rsidRPr="003F103A">
        <w:rPr>
          <w:rFonts w:asciiTheme="minorHAnsi" w:hAnsiTheme="minorHAnsi" w:cstheme="minorHAnsi"/>
          <w:sz w:val="22"/>
          <w:szCs w:val="22"/>
        </w:rPr>
        <w:t> </w:t>
      </w:r>
      <w:r w:rsidRPr="003F103A">
        <w:rPr>
          <w:rFonts w:asciiTheme="minorHAnsi" w:hAnsiTheme="minorHAnsi" w:cstheme="minorHAnsi"/>
          <w:sz w:val="22"/>
          <w:szCs w:val="22"/>
        </w:rPr>
        <w:t>μg/dl až 6,99 μg/dl.</w:t>
      </w:r>
    </w:p>
    <w:p w14:paraId="24B9B811" w14:textId="4AE38E32" w:rsidR="009E1C1F" w:rsidRPr="003F103A" w:rsidRDefault="009E1C1F" w:rsidP="008D5DA4">
      <w:pPr>
        <w:pStyle w:val="Zkladntext"/>
        <w:spacing w:after="1"/>
        <w:ind w:left="0"/>
        <w:rPr>
          <w:rFonts w:asciiTheme="minorHAnsi" w:hAnsiTheme="minorHAnsi" w:cstheme="minorHAnsi"/>
          <w:sz w:val="22"/>
          <w:szCs w:val="22"/>
        </w:rPr>
      </w:pPr>
    </w:p>
    <w:p w14:paraId="16D3017D" w14:textId="37ECCC69" w:rsidR="0005569B" w:rsidRPr="003F103A" w:rsidRDefault="0005569B" w:rsidP="008D5DA4">
      <w:pPr>
        <w:pStyle w:val="Zkladntext"/>
        <w:spacing w:after="1"/>
        <w:ind w:left="0"/>
        <w:rPr>
          <w:rFonts w:asciiTheme="minorHAnsi" w:hAnsiTheme="minorHAnsi" w:cstheme="minorHAnsi"/>
          <w:sz w:val="22"/>
          <w:szCs w:val="22"/>
        </w:rPr>
      </w:pPr>
    </w:p>
    <w:p w14:paraId="126AB43C" w14:textId="22911E57" w:rsidR="0005569B" w:rsidRPr="003F103A" w:rsidRDefault="0005569B" w:rsidP="008D5DA4">
      <w:pPr>
        <w:pStyle w:val="Zkladntext"/>
        <w:spacing w:after="1"/>
        <w:ind w:left="0"/>
        <w:rPr>
          <w:rFonts w:asciiTheme="minorHAnsi" w:hAnsiTheme="minorHAnsi" w:cstheme="minorHAnsi"/>
          <w:sz w:val="22"/>
          <w:szCs w:val="22"/>
        </w:rPr>
      </w:pPr>
    </w:p>
    <w:p w14:paraId="3445C074" w14:textId="72F4FB9A" w:rsidR="0005569B" w:rsidRPr="003F103A" w:rsidRDefault="0005569B" w:rsidP="008D5DA4">
      <w:pPr>
        <w:pStyle w:val="Zkladntext"/>
        <w:spacing w:after="1"/>
        <w:ind w:left="0"/>
        <w:rPr>
          <w:rFonts w:asciiTheme="minorHAnsi" w:hAnsiTheme="minorHAnsi" w:cstheme="minorHAnsi"/>
          <w:sz w:val="22"/>
          <w:szCs w:val="22"/>
        </w:rPr>
      </w:pPr>
    </w:p>
    <w:p w14:paraId="3B653E81" w14:textId="77777777" w:rsidR="0005569B" w:rsidRPr="003F103A" w:rsidRDefault="0005569B" w:rsidP="008D5DA4">
      <w:pPr>
        <w:pStyle w:val="Zkladntext"/>
        <w:spacing w:after="1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877FB0"/>
          <w:left w:val="single" w:sz="2" w:space="0" w:color="877FB0"/>
          <w:bottom w:val="single" w:sz="2" w:space="0" w:color="877FB0"/>
          <w:right w:val="single" w:sz="2" w:space="0" w:color="877FB0"/>
          <w:insideH w:val="single" w:sz="2" w:space="0" w:color="877FB0"/>
          <w:insideV w:val="single" w:sz="2" w:space="0" w:color="877FB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358"/>
        <w:gridCol w:w="1358"/>
        <w:gridCol w:w="1358"/>
        <w:gridCol w:w="1358"/>
        <w:gridCol w:w="1361"/>
      </w:tblGrid>
      <w:tr w:rsidR="009E1C1F" w:rsidRPr="003F103A" w14:paraId="725C1DAB" w14:textId="77777777" w:rsidTr="00E4692C">
        <w:trPr>
          <w:trHeight w:hRule="exact" w:val="288"/>
        </w:trPr>
        <w:tc>
          <w:tcPr>
            <w:tcW w:w="8151" w:type="dxa"/>
            <w:gridSpan w:val="6"/>
            <w:tcBorders>
              <w:bottom w:val="single" w:sz="2" w:space="0" w:color="C6C2DA"/>
            </w:tcBorders>
            <w:shd w:val="clear" w:color="auto" w:fill="2F2F81"/>
          </w:tcPr>
          <w:p w14:paraId="03D736C0" w14:textId="77777777" w:rsidR="009E1C1F" w:rsidRPr="003F103A" w:rsidRDefault="00040ACE" w:rsidP="008D5DA4">
            <w:pPr>
              <w:pStyle w:val="TableParagraph"/>
              <w:spacing w:before="29" w:line="240" w:lineRule="auto"/>
              <w:rPr>
                <w:rFonts w:asciiTheme="minorHAnsi" w:hAnsiTheme="minorHAnsi" w:cstheme="minorHAnsi"/>
                <w:b/>
              </w:rPr>
            </w:pPr>
            <w:r w:rsidRPr="003F103A">
              <w:rPr>
                <w:rFonts w:asciiTheme="minorHAnsi" w:hAnsiTheme="minorHAnsi" w:cstheme="minorHAnsi"/>
                <w:b/>
              </w:rPr>
              <w:lastRenderedPageBreak/>
              <w:t>Referenční hodnoty:</w:t>
            </w:r>
          </w:p>
        </w:tc>
      </w:tr>
      <w:tr w:rsidR="009E1C1F" w:rsidRPr="003F103A" w14:paraId="7C8FF12B" w14:textId="77777777" w:rsidTr="00E4692C">
        <w:trPr>
          <w:trHeight w:hRule="exact" w:val="288"/>
        </w:trPr>
        <w:tc>
          <w:tcPr>
            <w:tcW w:w="4074" w:type="dxa"/>
            <w:gridSpan w:val="3"/>
            <w:tcBorders>
              <w:top w:val="single" w:sz="2" w:space="0" w:color="C6C2DA"/>
              <w:bottom w:val="single" w:sz="2" w:space="0" w:color="C6C2DA"/>
            </w:tcBorders>
            <w:shd w:val="clear" w:color="auto" w:fill="E0DDEA"/>
          </w:tcPr>
          <w:p w14:paraId="52EB129F" w14:textId="77777777" w:rsidR="009E1C1F" w:rsidRPr="003F103A" w:rsidRDefault="00040ACE" w:rsidP="008D5DA4">
            <w:pPr>
              <w:pStyle w:val="TableParagraph"/>
              <w:spacing w:before="29" w:line="240" w:lineRule="auto"/>
              <w:rPr>
                <w:rFonts w:asciiTheme="minorHAnsi" w:hAnsiTheme="minorHAnsi" w:cstheme="minorHAnsi"/>
                <w:b/>
              </w:rPr>
            </w:pPr>
            <w:r w:rsidRPr="003F103A">
              <w:rPr>
                <w:rFonts w:asciiTheme="minorHAnsi" w:hAnsiTheme="minorHAnsi" w:cstheme="minorHAnsi"/>
                <w:b/>
              </w:rPr>
              <w:t>PSI</w:t>
            </w:r>
          </w:p>
        </w:tc>
        <w:tc>
          <w:tcPr>
            <w:tcW w:w="4076" w:type="dxa"/>
            <w:gridSpan w:val="3"/>
            <w:tcBorders>
              <w:top w:val="single" w:sz="2" w:space="0" w:color="C6C2DA"/>
              <w:bottom w:val="single" w:sz="2" w:space="0" w:color="C6C2DA"/>
            </w:tcBorders>
            <w:shd w:val="clear" w:color="auto" w:fill="E0DDEA"/>
          </w:tcPr>
          <w:p w14:paraId="1F362E03" w14:textId="77777777" w:rsidR="009E1C1F" w:rsidRPr="003F103A" w:rsidRDefault="00040ACE" w:rsidP="008D5DA4">
            <w:pPr>
              <w:pStyle w:val="TableParagraph"/>
              <w:spacing w:before="29" w:line="240" w:lineRule="auto"/>
              <w:rPr>
                <w:rFonts w:asciiTheme="minorHAnsi" w:hAnsiTheme="minorHAnsi" w:cstheme="minorHAnsi"/>
                <w:b/>
              </w:rPr>
            </w:pPr>
            <w:r w:rsidRPr="003F103A">
              <w:rPr>
                <w:rFonts w:asciiTheme="minorHAnsi" w:hAnsiTheme="minorHAnsi" w:cstheme="minorHAnsi"/>
                <w:b/>
              </w:rPr>
              <w:t>KOČKY</w:t>
            </w:r>
          </w:p>
        </w:tc>
      </w:tr>
      <w:tr w:rsidR="009E1C1F" w:rsidRPr="003F103A" w14:paraId="628B090F" w14:textId="77777777" w:rsidTr="00E4692C">
        <w:trPr>
          <w:trHeight w:hRule="exact" w:val="326"/>
        </w:trPr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3923F4C9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Nízké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337287BB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&lt;15 nmol/l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4BCDDA10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&lt;1,17 µg/dl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33337C71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Nízké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5939D2B7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&lt;15 nmol/l</w:t>
            </w:r>
          </w:p>
        </w:tc>
        <w:tc>
          <w:tcPr>
            <w:tcW w:w="1359" w:type="dxa"/>
            <w:tcBorders>
              <w:top w:val="single" w:sz="2" w:space="0" w:color="C6C2DA"/>
              <w:bottom w:val="single" w:sz="2" w:space="0" w:color="C6C2DA"/>
            </w:tcBorders>
          </w:tcPr>
          <w:p w14:paraId="1A55A441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&lt;1,17 µg/dl</w:t>
            </w:r>
          </w:p>
        </w:tc>
      </w:tr>
      <w:tr w:rsidR="009E1C1F" w:rsidRPr="003F103A" w14:paraId="1DF4CE7F" w14:textId="77777777" w:rsidTr="00E4692C">
        <w:trPr>
          <w:trHeight w:hRule="exact" w:val="326"/>
        </w:trPr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0AE76E2D" w14:textId="2A8EF89B" w:rsidR="009E1C1F" w:rsidRPr="003F103A" w:rsidRDefault="0061729F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Normální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6B7A7323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15-23 nmol/l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539FE7CC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1,17-1,79 µg/dl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388C4E1C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Normální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799D4935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15-40 nmol/l</w:t>
            </w:r>
          </w:p>
        </w:tc>
        <w:tc>
          <w:tcPr>
            <w:tcW w:w="1359" w:type="dxa"/>
            <w:tcBorders>
              <w:top w:val="single" w:sz="2" w:space="0" w:color="C6C2DA"/>
              <w:bottom w:val="single" w:sz="2" w:space="0" w:color="C6C2DA"/>
            </w:tcBorders>
          </w:tcPr>
          <w:p w14:paraId="220E6992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1,17-3,11 µg/dl</w:t>
            </w:r>
          </w:p>
        </w:tc>
      </w:tr>
      <w:tr w:rsidR="009E1C1F" w:rsidRPr="003F103A" w14:paraId="536843B4" w14:textId="77777777" w:rsidTr="00E4692C">
        <w:trPr>
          <w:trHeight w:hRule="exact" w:val="326"/>
        </w:trPr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53A2AA6A" w14:textId="49E41FDC" w:rsidR="009E1C1F" w:rsidRPr="003F103A" w:rsidRDefault="0061729F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Hraniční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22707AE7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23-50 nmol/l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5027B3F4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1,79-3,89 µg/dl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1E2F6EC9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Hraniční</w:t>
            </w:r>
          </w:p>
        </w:tc>
        <w:tc>
          <w:tcPr>
            <w:tcW w:w="1358" w:type="dxa"/>
            <w:tcBorders>
              <w:top w:val="single" w:sz="2" w:space="0" w:color="C6C2DA"/>
              <w:bottom w:val="single" w:sz="2" w:space="0" w:color="C6C2DA"/>
            </w:tcBorders>
          </w:tcPr>
          <w:p w14:paraId="1CB9D203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40-50 nmol/l</w:t>
            </w:r>
          </w:p>
        </w:tc>
        <w:tc>
          <w:tcPr>
            <w:tcW w:w="1359" w:type="dxa"/>
            <w:tcBorders>
              <w:top w:val="single" w:sz="2" w:space="0" w:color="C6C2DA"/>
              <w:bottom w:val="single" w:sz="2" w:space="0" w:color="C6C2DA"/>
            </w:tcBorders>
          </w:tcPr>
          <w:p w14:paraId="1FBA9163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3,11-3,89 µg/dl</w:t>
            </w:r>
          </w:p>
        </w:tc>
      </w:tr>
      <w:tr w:rsidR="009E1C1F" w:rsidRPr="003F103A" w14:paraId="11A01311" w14:textId="77777777" w:rsidTr="00E4692C">
        <w:trPr>
          <w:trHeight w:hRule="exact" w:val="326"/>
        </w:trPr>
        <w:tc>
          <w:tcPr>
            <w:tcW w:w="1358" w:type="dxa"/>
            <w:tcBorders>
              <w:top w:val="single" w:sz="2" w:space="0" w:color="C6C2DA"/>
            </w:tcBorders>
          </w:tcPr>
          <w:p w14:paraId="61FA27D5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Vysoké</w:t>
            </w:r>
          </w:p>
        </w:tc>
        <w:tc>
          <w:tcPr>
            <w:tcW w:w="1358" w:type="dxa"/>
            <w:tcBorders>
              <w:top w:val="single" w:sz="2" w:space="0" w:color="C6C2DA"/>
            </w:tcBorders>
          </w:tcPr>
          <w:p w14:paraId="54D6EF3E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&gt;50 nmol/l</w:t>
            </w:r>
          </w:p>
        </w:tc>
        <w:tc>
          <w:tcPr>
            <w:tcW w:w="1358" w:type="dxa"/>
            <w:tcBorders>
              <w:top w:val="single" w:sz="2" w:space="0" w:color="C6C2DA"/>
            </w:tcBorders>
          </w:tcPr>
          <w:p w14:paraId="54A507B2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&gt;3,89 µg/dl</w:t>
            </w:r>
          </w:p>
        </w:tc>
        <w:tc>
          <w:tcPr>
            <w:tcW w:w="1358" w:type="dxa"/>
            <w:tcBorders>
              <w:top w:val="single" w:sz="2" w:space="0" w:color="C6C2DA"/>
            </w:tcBorders>
          </w:tcPr>
          <w:p w14:paraId="5A252043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Vysoké</w:t>
            </w:r>
          </w:p>
        </w:tc>
        <w:tc>
          <w:tcPr>
            <w:tcW w:w="1358" w:type="dxa"/>
            <w:tcBorders>
              <w:top w:val="single" w:sz="2" w:space="0" w:color="C6C2DA"/>
            </w:tcBorders>
          </w:tcPr>
          <w:p w14:paraId="5D539A0E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&gt;50 nmol/l</w:t>
            </w:r>
          </w:p>
        </w:tc>
        <w:tc>
          <w:tcPr>
            <w:tcW w:w="1359" w:type="dxa"/>
            <w:tcBorders>
              <w:top w:val="single" w:sz="2" w:space="0" w:color="C6C2DA"/>
            </w:tcBorders>
          </w:tcPr>
          <w:p w14:paraId="6B4A049E" w14:textId="77777777" w:rsidR="009E1C1F" w:rsidRPr="003F103A" w:rsidRDefault="00040ACE" w:rsidP="008D5DA4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3F103A">
              <w:rPr>
                <w:rFonts w:asciiTheme="minorHAnsi" w:hAnsiTheme="minorHAnsi" w:cstheme="minorHAnsi"/>
              </w:rPr>
              <w:t>&gt;3,89 µg/dl</w:t>
            </w:r>
          </w:p>
        </w:tc>
      </w:tr>
    </w:tbl>
    <w:p w14:paraId="45083BC8" w14:textId="77777777" w:rsidR="009E1C1F" w:rsidRPr="003F103A" w:rsidRDefault="00040ACE" w:rsidP="008D5DA4">
      <w:pPr>
        <w:ind w:left="115"/>
        <w:rPr>
          <w:rFonts w:asciiTheme="minorHAnsi" w:hAnsiTheme="minorHAnsi" w:cstheme="minorHAnsi"/>
        </w:rPr>
      </w:pPr>
      <w:r w:rsidRPr="003F103A">
        <w:rPr>
          <w:rFonts w:asciiTheme="minorHAnsi" w:hAnsiTheme="minorHAnsi" w:cstheme="minorHAnsi"/>
          <w:b/>
        </w:rPr>
        <w:t xml:space="preserve">Převod: </w:t>
      </w:r>
      <w:r w:rsidRPr="003F103A">
        <w:rPr>
          <w:rFonts w:asciiTheme="minorHAnsi" w:hAnsiTheme="minorHAnsi" w:cstheme="minorHAnsi"/>
        </w:rPr>
        <w:t>1 µg/dl = 12,87 nmol/l</w:t>
      </w:r>
    </w:p>
    <w:p w14:paraId="67EA41DE" w14:textId="77777777" w:rsidR="008D5DA4" w:rsidRPr="003F103A" w:rsidRDefault="008D5DA4">
      <w:pPr>
        <w:rPr>
          <w:rFonts w:asciiTheme="minorHAnsi" w:hAnsiTheme="minorHAnsi" w:cstheme="minorHAnsi"/>
        </w:rPr>
      </w:pPr>
    </w:p>
    <w:p w14:paraId="5F3DCE0A" w14:textId="77777777" w:rsidR="009E1C1F" w:rsidRPr="003F103A" w:rsidRDefault="00040ACE" w:rsidP="008D5DA4">
      <w:pPr>
        <w:pStyle w:val="Zkladntext"/>
        <w:spacing w:before="134"/>
        <w:ind w:right="197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Tato doporučení jsou pouze orientační. Účelem tohoto testu je měřit koncentraci celkového T4 </w:t>
      </w:r>
      <w:r w:rsidR="002E6C46" w:rsidRPr="003F103A">
        <w:rPr>
          <w:rFonts w:asciiTheme="minorHAnsi" w:hAnsiTheme="minorHAnsi" w:cstheme="minorHAnsi"/>
          <w:sz w:val="22"/>
          <w:szCs w:val="22"/>
        </w:rPr>
        <w:t>v </w:t>
      </w:r>
      <w:r w:rsidRPr="003F103A">
        <w:rPr>
          <w:rFonts w:asciiTheme="minorHAnsi" w:hAnsiTheme="minorHAnsi" w:cstheme="minorHAnsi"/>
          <w:sz w:val="22"/>
          <w:szCs w:val="22"/>
        </w:rPr>
        <w:t xml:space="preserve">krevním oběhu psů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 xml:space="preserve">koček. Jelikož žádná diagnostická metoda není stoprocentně přesná, veterinář musí při interpretaci zohlednit anamnézu pacienta, nález </w:t>
      </w:r>
      <w:r w:rsidR="002E6C46" w:rsidRPr="003F103A">
        <w:rPr>
          <w:rFonts w:asciiTheme="minorHAnsi" w:hAnsiTheme="minorHAnsi" w:cstheme="minorHAnsi"/>
          <w:sz w:val="22"/>
          <w:szCs w:val="22"/>
        </w:rPr>
        <w:t>z </w:t>
      </w:r>
      <w:r w:rsidRPr="003F103A">
        <w:rPr>
          <w:rFonts w:asciiTheme="minorHAnsi" w:hAnsiTheme="minorHAnsi" w:cstheme="minorHAnsi"/>
          <w:sz w:val="22"/>
          <w:szCs w:val="22"/>
        </w:rPr>
        <w:t xml:space="preserve">klinického vyšetření zvířete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 xml:space="preserve">výsledky jakýchkoliv dalších diagnostických testů. Konečná diagnóza je výsadou </w:t>
      </w:r>
      <w:r w:rsidR="002E6C46" w:rsidRPr="003F103A">
        <w:rPr>
          <w:rFonts w:asciiTheme="minorHAnsi" w:hAnsiTheme="minorHAnsi" w:cstheme="minorHAnsi"/>
          <w:sz w:val="22"/>
          <w:szCs w:val="22"/>
        </w:rPr>
        <w:t>a </w:t>
      </w:r>
      <w:r w:rsidRPr="003F103A">
        <w:rPr>
          <w:rFonts w:asciiTheme="minorHAnsi" w:hAnsiTheme="minorHAnsi" w:cstheme="minorHAnsi"/>
          <w:sz w:val="22"/>
          <w:szCs w:val="22"/>
        </w:rPr>
        <w:t>odpovědností veterináře.</w:t>
      </w:r>
    </w:p>
    <w:p w14:paraId="61164C18" w14:textId="29D784CC" w:rsidR="009E1C1F" w:rsidRPr="003F103A" w:rsidRDefault="00040ACE" w:rsidP="008D5DA4">
      <w:pPr>
        <w:pStyle w:val="Zkladntext"/>
        <w:spacing w:before="1"/>
        <w:ind w:right="197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48525F" w:rsidRPr="003F103A">
        <w:rPr>
          <w:rFonts w:asciiTheme="minorHAnsi" w:hAnsiTheme="minorHAnsi" w:cstheme="minorHAnsi"/>
          <w:sz w:val="22"/>
          <w:szCs w:val="22"/>
        </w:rPr>
        <w:t>Virbac Diagnostics</w:t>
      </w:r>
      <w:r w:rsidRPr="003F103A">
        <w:rPr>
          <w:rFonts w:asciiTheme="minorHAnsi" w:hAnsiTheme="minorHAnsi" w:cstheme="minorHAnsi"/>
          <w:sz w:val="22"/>
          <w:szCs w:val="22"/>
        </w:rPr>
        <w:t xml:space="preserve"> ani její distributoři nenesou odpovědnost za žádné následky nesprávného používání tohoto testu nebo nesprávné interpretace jeho výsledků.</w:t>
      </w:r>
    </w:p>
    <w:p w14:paraId="2F72153A" w14:textId="77777777" w:rsidR="009E1C1F" w:rsidRPr="003F103A" w:rsidRDefault="009E1C1F" w:rsidP="008D5DA4">
      <w:pPr>
        <w:pStyle w:val="Zkladn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46A52A1C" w14:textId="09752134" w:rsidR="009E1C1F" w:rsidRPr="003F103A" w:rsidRDefault="00040ACE" w:rsidP="008D5DA4">
      <w:pPr>
        <w:pStyle w:val="Zkladntext"/>
        <w:tabs>
          <w:tab w:val="left" w:pos="1580"/>
          <w:tab w:val="left" w:pos="3234"/>
        </w:tabs>
        <w:ind w:right="155"/>
        <w:rPr>
          <w:rFonts w:asciiTheme="minorHAnsi" w:hAnsiTheme="minorHAnsi" w:cstheme="minorHAnsi"/>
          <w:sz w:val="22"/>
          <w:szCs w:val="22"/>
        </w:rPr>
      </w:pPr>
      <w:r w:rsidRPr="003F103A">
        <w:rPr>
          <w:rFonts w:asciiTheme="minorHAnsi" w:hAnsiTheme="minorHAnsi" w:cstheme="minorHAnsi"/>
          <w:sz w:val="22"/>
          <w:szCs w:val="22"/>
        </w:rPr>
        <w:t>SPEED READER,</w:t>
      </w:r>
      <w:r w:rsidR="00E4692C" w:rsidRPr="003F103A">
        <w:rPr>
          <w:rFonts w:asciiTheme="minorHAnsi" w:hAnsiTheme="minorHAnsi" w:cstheme="minorHAnsi"/>
          <w:sz w:val="22"/>
          <w:szCs w:val="22"/>
        </w:rPr>
        <w:t xml:space="preserve"> </w:t>
      </w:r>
      <w:r w:rsidR="00E4692C" w:rsidRPr="003F103A">
        <w:rPr>
          <w:rFonts w:asciiTheme="minorHAnsi" w:hAnsiTheme="minorHAnsi" w:cstheme="minorHAnsi"/>
          <w:i/>
          <w:sz w:val="22"/>
          <w:szCs w:val="22"/>
        </w:rPr>
        <w:t xml:space="preserve">Speed </w:t>
      </w:r>
      <w:r w:rsidRPr="003F103A">
        <w:rPr>
          <w:rFonts w:asciiTheme="minorHAnsi" w:hAnsiTheme="minorHAnsi" w:cstheme="minorHAnsi"/>
          <w:i/>
          <w:sz w:val="22"/>
          <w:szCs w:val="22"/>
        </w:rPr>
        <w:t>Reader</w:t>
      </w:r>
      <w:r w:rsidRPr="003F103A">
        <w:rPr>
          <w:rFonts w:asciiTheme="minorHAnsi" w:hAnsiTheme="minorHAnsi" w:cstheme="minorHAnsi"/>
          <w:sz w:val="22"/>
          <w:szCs w:val="22"/>
        </w:rPr>
        <w:t>, SPEED a</w:t>
      </w:r>
      <w:r w:rsidR="00E4692C" w:rsidRPr="003F103A">
        <w:rPr>
          <w:rFonts w:asciiTheme="minorHAnsi" w:hAnsiTheme="minorHAnsi" w:cstheme="minorHAnsi"/>
          <w:sz w:val="22"/>
          <w:szCs w:val="22"/>
        </w:rPr>
        <w:t xml:space="preserve"> </w:t>
      </w:r>
      <w:r w:rsidR="00E4692C" w:rsidRPr="003F103A">
        <w:rPr>
          <w:rFonts w:asciiTheme="minorHAnsi" w:hAnsiTheme="minorHAnsi" w:cstheme="minorHAnsi"/>
          <w:i/>
          <w:sz w:val="22"/>
          <w:szCs w:val="22"/>
        </w:rPr>
        <w:t xml:space="preserve">Speed </w:t>
      </w:r>
      <w:r w:rsidRPr="003F103A">
        <w:rPr>
          <w:rFonts w:asciiTheme="minorHAnsi" w:hAnsiTheme="minorHAnsi" w:cstheme="minorHAnsi"/>
          <w:sz w:val="22"/>
          <w:szCs w:val="22"/>
        </w:rPr>
        <w:t>jsou registrované ochranné známky nebo ochranné známky společnosti Virbac nebo jejích přidružených společností.</w:t>
      </w:r>
    </w:p>
    <w:sectPr w:rsidR="009E1C1F" w:rsidRPr="003F103A" w:rsidSect="00E4692C">
      <w:headerReference w:type="default" r:id="rId7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04F15" w14:textId="77777777" w:rsidR="00B802F7" w:rsidRDefault="00B802F7" w:rsidP="00E4692C">
      <w:r>
        <w:separator/>
      </w:r>
    </w:p>
  </w:endnote>
  <w:endnote w:type="continuationSeparator" w:id="0">
    <w:p w14:paraId="20B29F90" w14:textId="77777777" w:rsidR="00B802F7" w:rsidRDefault="00B802F7" w:rsidP="00E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B9DC" w14:textId="77777777" w:rsidR="00B802F7" w:rsidRDefault="00B802F7" w:rsidP="00E4692C">
      <w:r>
        <w:separator/>
      </w:r>
    </w:p>
  </w:footnote>
  <w:footnote w:type="continuationSeparator" w:id="0">
    <w:p w14:paraId="2E9E6876" w14:textId="77777777" w:rsidR="00B802F7" w:rsidRDefault="00B802F7" w:rsidP="00E4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9C408" w14:textId="1B70CF11" w:rsidR="00C350CF" w:rsidRDefault="00C350CF" w:rsidP="00BF6F16">
    <w:pPr>
      <w:jc w:val="both"/>
      <w:rPr>
        <w:rFonts w:ascii="Calibri" w:hAnsi="Calibri"/>
      </w:rPr>
    </w:pPr>
    <w:r w:rsidRPr="00C350CF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návodu k použití</w:t>
    </w:r>
    <w:r w:rsidRPr="00C350CF">
      <w:rPr>
        <w:rFonts w:ascii="Calibri" w:hAnsi="Calibri"/>
        <w:bCs/>
      </w:rPr>
      <w:t> součást dokumentace schválené rozhodnutím sp.</w:t>
    </w:r>
    <w:r w:rsidR="003F103A">
      <w:rPr>
        <w:rFonts w:ascii="Calibri" w:hAnsi="Calibri"/>
        <w:bCs/>
      </w:rPr>
      <w:t> </w:t>
    </w:r>
    <w:r w:rsidRPr="00C350CF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53E7252B792F46AF9E84435B3E9CF12E"/>
        </w:placeholder>
        <w:text/>
      </w:sdtPr>
      <w:sdtEndPr/>
      <w:sdtContent>
        <w:r>
          <w:rPr>
            <w:rFonts w:ascii="Calibri" w:hAnsi="Calibri"/>
            <w:bCs/>
          </w:rPr>
          <w:t>USKVBL/1601</w:t>
        </w:r>
        <w:r w:rsidR="000A3B37">
          <w:rPr>
            <w:rFonts w:ascii="Calibri" w:hAnsi="Calibri"/>
            <w:bCs/>
          </w:rPr>
          <w:t>5</w:t>
        </w:r>
        <w:r>
          <w:rPr>
            <w:rFonts w:ascii="Calibri" w:hAnsi="Calibri"/>
            <w:bCs/>
          </w:rPr>
          <w:t>/2023/POD</w:t>
        </w:r>
      </w:sdtContent>
    </w:sdt>
    <w:r w:rsidRPr="00C350CF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53E7252B792F46AF9E84435B3E9CF12E"/>
        </w:placeholder>
        <w:text/>
      </w:sdtPr>
      <w:sdtEndPr/>
      <w:sdtContent>
        <w:r w:rsidR="00CB69E6" w:rsidRPr="00CB69E6">
          <w:rPr>
            <w:rFonts w:ascii="Calibri" w:hAnsi="Calibri"/>
            <w:bCs/>
          </w:rPr>
          <w:t>USKVBL/5196/2024/REG-Gro</w:t>
        </w:r>
      </w:sdtContent>
    </w:sdt>
    <w:r w:rsidRPr="00C350CF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94B9A490F224752B726A885BF561A84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69E6">
          <w:rPr>
            <w:rFonts w:ascii="Calibri" w:hAnsi="Calibri"/>
            <w:bCs/>
          </w:rPr>
          <w:t>16.4.2024</w:t>
        </w:r>
      </w:sdtContent>
    </w:sdt>
    <w:r w:rsidRPr="00C350CF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797E380BE644CF2AF75FEAF3FF997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C350CF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B2031CA0E3AC47F69312CD7456316677"/>
        </w:placeholder>
        <w:text/>
      </w:sdtPr>
      <w:sdtEndPr/>
      <w:sdtContent>
        <w:r>
          <w:rPr>
            <w:rFonts w:ascii="Calibri" w:hAnsi="Calibri"/>
          </w:rPr>
          <w:t>SPEED T4</w:t>
        </w:r>
      </w:sdtContent>
    </w:sdt>
  </w:p>
  <w:p w14:paraId="306E46B5" w14:textId="77777777" w:rsidR="003F103A" w:rsidRPr="00C350CF" w:rsidRDefault="003F103A" w:rsidP="00BF6F16">
    <w:pPr>
      <w:jc w:val="both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4698D"/>
    <w:multiLevelType w:val="hybridMultilevel"/>
    <w:tmpl w:val="4B4C1730"/>
    <w:lvl w:ilvl="0" w:tplc="E018B804">
      <w:numFmt w:val="bullet"/>
      <w:lvlText w:val="-"/>
      <w:lvlJc w:val="left"/>
      <w:pPr>
        <w:ind w:left="115" w:hanging="67"/>
      </w:pPr>
      <w:rPr>
        <w:rFonts w:ascii="Arial Unicode MS" w:eastAsia="Arial Unicode MS" w:hAnsi="Arial Unicode MS" w:cs="Arial Unicode MS" w:hint="default"/>
        <w:color w:val="2F2F81"/>
        <w:w w:val="83"/>
        <w:sz w:val="12"/>
        <w:szCs w:val="12"/>
      </w:rPr>
    </w:lvl>
    <w:lvl w:ilvl="1" w:tplc="E7B4815E">
      <w:numFmt w:val="bullet"/>
      <w:lvlText w:val="•"/>
      <w:lvlJc w:val="left"/>
      <w:pPr>
        <w:ind w:left="725" w:hanging="67"/>
      </w:pPr>
      <w:rPr>
        <w:rFonts w:hint="default"/>
      </w:rPr>
    </w:lvl>
    <w:lvl w:ilvl="2" w:tplc="5B32F99E">
      <w:numFmt w:val="bullet"/>
      <w:lvlText w:val="•"/>
      <w:lvlJc w:val="left"/>
      <w:pPr>
        <w:ind w:left="1331" w:hanging="67"/>
      </w:pPr>
      <w:rPr>
        <w:rFonts w:hint="default"/>
      </w:rPr>
    </w:lvl>
    <w:lvl w:ilvl="3" w:tplc="AD0A0874">
      <w:numFmt w:val="bullet"/>
      <w:lvlText w:val="•"/>
      <w:lvlJc w:val="left"/>
      <w:pPr>
        <w:ind w:left="1937" w:hanging="67"/>
      </w:pPr>
      <w:rPr>
        <w:rFonts w:hint="default"/>
      </w:rPr>
    </w:lvl>
    <w:lvl w:ilvl="4" w:tplc="B08C5BF6">
      <w:numFmt w:val="bullet"/>
      <w:lvlText w:val="•"/>
      <w:lvlJc w:val="left"/>
      <w:pPr>
        <w:ind w:left="2542" w:hanging="67"/>
      </w:pPr>
      <w:rPr>
        <w:rFonts w:hint="default"/>
      </w:rPr>
    </w:lvl>
    <w:lvl w:ilvl="5" w:tplc="889E7966">
      <w:numFmt w:val="bullet"/>
      <w:lvlText w:val="•"/>
      <w:lvlJc w:val="left"/>
      <w:pPr>
        <w:ind w:left="3148" w:hanging="67"/>
      </w:pPr>
      <w:rPr>
        <w:rFonts w:hint="default"/>
      </w:rPr>
    </w:lvl>
    <w:lvl w:ilvl="6" w:tplc="B2CCAA4E">
      <w:numFmt w:val="bullet"/>
      <w:lvlText w:val="•"/>
      <w:lvlJc w:val="left"/>
      <w:pPr>
        <w:ind w:left="3754" w:hanging="67"/>
      </w:pPr>
      <w:rPr>
        <w:rFonts w:hint="default"/>
      </w:rPr>
    </w:lvl>
    <w:lvl w:ilvl="7" w:tplc="DDCA25A0">
      <w:numFmt w:val="bullet"/>
      <w:lvlText w:val="•"/>
      <w:lvlJc w:val="left"/>
      <w:pPr>
        <w:ind w:left="4359" w:hanging="67"/>
      </w:pPr>
      <w:rPr>
        <w:rFonts w:hint="default"/>
      </w:rPr>
    </w:lvl>
    <w:lvl w:ilvl="8" w:tplc="D944B4C2">
      <w:numFmt w:val="bullet"/>
      <w:lvlText w:val="•"/>
      <w:lvlJc w:val="left"/>
      <w:pPr>
        <w:ind w:left="4965" w:hanging="67"/>
      </w:pPr>
      <w:rPr>
        <w:rFonts w:hint="default"/>
      </w:rPr>
    </w:lvl>
  </w:abstractNum>
  <w:abstractNum w:abstractNumId="1" w15:restartNumberingAfterBreak="0">
    <w:nsid w:val="6EC70CD7"/>
    <w:multiLevelType w:val="hybridMultilevel"/>
    <w:tmpl w:val="8DD47ACA"/>
    <w:lvl w:ilvl="0" w:tplc="040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6F6B2A08"/>
    <w:multiLevelType w:val="hybridMultilevel"/>
    <w:tmpl w:val="68CCCDA4"/>
    <w:lvl w:ilvl="0" w:tplc="C2D61684">
      <w:numFmt w:val="bullet"/>
      <w:lvlText w:val="-"/>
      <w:lvlJc w:val="left"/>
      <w:pPr>
        <w:ind w:left="115" w:hanging="67"/>
      </w:pPr>
      <w:rPr>
        <w:rFonts w:ascii="Arial Unicode MS" w:eastAsia="Arial Unicode MS" w:hAnsi="Arial Unicode MS" w:cs="Arial Unicode MS" w:hint="default"/>
        <w:color w:val="2F2F81"/>
        <w:w w:val="83"/>
        <w:sz w:val="12"/>
        <w:szCs w:val="12"/>
      </w:rPr>
    </w:lvl>
    <w:lvl w:ilvl="1" w:tplc="20F26C26">
      <w:numFmt w:val="bullet"/>
      <w:lvlText w:val="•"/>
      <w:lvlJc w:val="left"/>
      <w:pPr>
        <w:ind w:left="725" w:hanging="67"/>
      </w:pPr>
      <w:rPr>
        <w:rFonts w:hint="default"/>
      </w:rPr>
    </w:lvl>
    <w:lvl w:ilvl="2" w:tplc="8CA4050A">
      <w:numFmt w:val="bullet"/>
      <w:lvlText w:val="•"/>
      <w:lvlJc w:val="left"/>
      <w:pPr>
        <w:ind w:left="1331" w:hanging="67"/>
      </w:pPr>
      <w:rPr>
        <w:rFonts w:hint="default"/>
      </w:rPr>
    </w:lvl>
    <w:lvl w:ilvl="3" w:tplc="9BCA0532">
      <w:numFmt w:val="bullet"/>
      <w:lvlText w:val="•"/>
      <w:lvlJc w:val="left"/>
      <w:pPr>
        <w:ind w:left="1937" w:hanging="67"/>
      </w:pPr>
      <w:rPr>
        <w:rFonts w:hint="default"/>
      </w:rPr>
    </w:lvl>
    <w:lvl w:ilvl="4" w:tplc="D0CEF374">
      <w:numFmt w:val="bullet"/>
      <w:lvlText w:val="•"/>
      <w:lvlJc w:val="left"/>
      <w:pPr>
        <w:ind w:left="2542" w:hanging="67"/>
      </w:pPr>
      <w:rPr>
        <w:rFonts w:hint="default"/>
      </w:rPr>
    </w:lvl>
    <w:lvl w:ilvl="5" w:tplc="6B14653A">
      <w:numFmt w:val="bullet"/>
      <w:lvlText w:val="•"/>
      <w:lvlJc w:val="left"/>
      <w:pPr>
        <w:ind w:left="3148" w:hanging="67"/>
      </w:pPr>
      <w:rPr>
        <w:rFonts w:hint="default"/>
      </w:rPr>
    </w:lvl>
    <w:lvl w:ilvl="6" w:tplc="F48886F6">
      <w:numFmt w:val="bullet"/>
      <w:lvlText w:val="•"/>
      <w:lvlJc w:val="left"/>
      <w:pPr>
        <w:ind w:left="3754" w:hanging="67"/>
      </w:pPr>
      <w:rPr>
        <w:rFonts w:hint="default"/>
      </w:rPr>
    </w:lvl>
    <w:lvl w:ilvl="7" w:tplc="27068D8A">
      <w:numFmt w:val="bullet"/>
      <w:lvlText w:val="•"/>
      <w:lvlJc w:val="left"/>
      <w:pPr>
        <w:ind w:left="4359" w:hanging="67"/>
      </w:pPr>
      <w:rPr>
        <w:rFonts w:hint="default"/>
      </w:rPr>
    </w:lvl>
    <w:lvl w:ilvl="8" w:tplc="48E62C52">
      <w:numFmt w:val="bullet"/>
      <w:lvlText w:val="•"/>
      <w:lvlJc w:val="left"/>
      <w:pPr>
        <w:ind w:left="4965" w:hanging="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F"/>
    <w:rsid w:val="00040ACE"/>
    <w:rsid w:val="0005569B"/>
    <w:rsid w:val="000A3B37"/>
    <w:rsid w:val="00111FDE"/>
    <w:rsid w:val="001A276F"/>
    <w:rsid w:val="001A6362"/>
    <w:rsid w:val="001F661B"/>
    <w:rsid w:val="00235DFE"/>
    <w:rsid w:val="002667FB"/>
    <w:rsid w:val="002E6C46"/>
    <w:rsid w:val="00315110"/>
    <w:rsid w:val="003F103A"/>
    <w:rsid w:val="00455801"/>
    <w:rsid w:val="0048525F"/>
    <w:rsid w:val="004B6C98"/>
    <w:rsid w:val="0050704A"/>
    <w:rsid w:val="00597C0A"/>
    <w:rsid w:val="0061729F"/>
    <w:rsid w:val="00686616"/>
    <w:rsid w:val="006929B6"/>
    <w:rsid w:val="006F0727"/>
    <w:rsid w:val="00866E64"/>
    <w:rsid w:val="008D5DA4"/>
    <w:rsid w:val="009026D4"/>
    <w:rsid w:val="009A0DA9"/>
    <w:rsid w:val="009E1C1F"/>
    <w:rsid w:val="009F5ADB"/>
    <w:rsid w:val="00A448FD"/>
    <w:rsid w:val="00A502E6"/>
    <w:rsid w:val="00AC2B82"/>
    <w:rsid w:val="00B802F7"/>
    <w:rsid w:val="00C350CF"/>
    <w:rsid w:val="00CB69E6"/>
    <w:rsid w:val="00CF7A76"/>
    <w:rsid w:val="00E4692C"/>
    <w:rsid w:val="00E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2F82"/>
  <w15:docId w15:val="{4008F29E-3598-4815-937D-998E76A0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E1C1F"/>
    <w:rPr>
      <w:rFonts w:ascii="Arial Unicode MS" w:eastAsia="Arial Unicode MS" w:hAnsi="Arial Unicode MS" w:cs="Arial Unicode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E1C1F"/>
    <w:pPr>
      <w:ind w:left="115"/>
    </w:pPr>
    <w:rPr>
      <w:sz w:val="12"/>
      <w:szCs w:val="12"/>
    </w:rPr>
  </w:style>
  <w:style w:type="paragraph" w:customStyle="1" w:styleId="Nadpis11">
    <w:name w:val="Nadpis 11"/>
    <w:basedOn w:val="Normln"/>
    <w:uiPriority w:val="1"/>
    <w:qFormat/>
    <w:rsid w:val="009E1C1F"/>
    <w:pPr>
      <w:spacing w:line="108" w:lineRule="exact"/>
      <w:ind w:left="115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Odstavecseseznamem">
    <w:name w:val="List Paragraph"/>
    <w:basedOn w:val="Normln"/>
    <w:uiPriority w:val="1"/>
    <w:qFormat/>
    <w:rsid w:val="009E1C1F"/>
    <w:pPr>
      <w:ind w:left="182" w:hanging="67"/>
    </w:pPr>
  </w:style>
  <w:style w:type="paragraph" w:customStyle="1" w:styleId="TableParagraph">
    <w:name w:val="Table Paragraph"/>
    <w:basedOn w:val="Normln"/>
    <w:uiPriority w:val="1"/>
    <w:qFormat/>
    <w:rsid w:val="009E1C1F"/>
    <w:pPr>
      <w:spacing w:line="174" w:lineRule="exact"/>
      <w:ind w:left="5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DA4"/>
    <w:rPr>
      <w:rFonts w:ascii="Tahoma" w:eastAsia="Arial Unicode MS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8525F"/>
    <w:pPr>
      <w:widowControl/>
      <w:autoSpaceDE/>
      <w:autoSpaceDN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E469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92C"/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unhideWhenUsed/>
    <w:rsid w:val="00E469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92C"/>
    <w:rPr>
      <w:rFonts w:ascii="Arial Unicode MS" w:eastAsia="Arial Unicode MS" w:hAnsi="Arial Unicode MS" w:cs="Arial Unicode MS"/>
    </w:rPr>
  </w:style>
  <w:style w:type="character" w:styleId="Zstupntext">
    <w:name w:val="Placeholder Text"/>
    <w:rsid w:val="00E46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E7252B792F46AF9E84435B3E9CF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14530-8B72-4A4C-BB8E-6117C31F1B75}"/>
      </w:docPartPr>
      <w:docPartBody>
        <w:p w:rsidR="008B7CBA" w:rsidRDefault="000004A7" w:rsidP="000004A7">
          <w:pPr>
            <w:pStyle w:val="53E7252B792F46AF9E84435B3E9CF12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94B9A490F224752B726A885BF561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CB97F-4C1B-4E1E-8FAE-37949148E302}"/>
      </w:docPartPr>
      <w:docPartBody>
        <w:p w:rsidR="008B7CBA" w:rsidRDefault="000004A7" w:rsidP="000004A7">
          <w:pPr>
            <w:pStyle w:val="E94B9A490F224752B726A885BF561A8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797E380BE644CF2AF75FEAF3FF99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59539-7494-43E4-A79F-932F76BFBEB6}"/>
      </w:docPartPr>
      <w:docPartBody>
        <w:p w:rsidR="008B7CBA" w:rsidRDefault="000004A7" w:rsidP="000004A7">
          <w:pPr>
            <w:pStyle w:val="F797E380BE644CF2AF75FEAF3FF9972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2031CA0E3AC47F69312CD7456316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EEDDB-9D0E-4836-9E88-6F3DCACD0FB3}"/>
      </w:docPartPr>
      <w:docPartBody>
        <w:p w:rsidR="008B7CBA" w:rsidRDefault="000004A7" w:rsidP="000004A7">
          <w:pPr>
            <w:pStyle w:val="B2031CA0E3AC47F69312CD74563166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A7"/>
    <w:rsid w:val="000004A7"/>
    <w:rsid w:val="00035E71"/>
    <w:rsid w:val="001B5E37"/>
    <w:rsid w:val="00386043"/>
    <w:rsid w:val="008B7CBA"/>
    <w:rsid w:val="009D5F70"/>
    <w:rsid w:val="009F3A00"/>
    <w:rsid w:val="00BD5E74"/>
    <w:rsid w:val="00D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004A7"/>
    <w:rPr>
      <w:color w:val="808080"/>
    </w:rPr>
  </w:style>
  <w:style w:type="paragraph" w:customStyle="1" w:styleId="53E7252B792F46AF9E84435B3E9CF12E">
    <w:name w:val="53E7252B792F46AF9E84435B3E9CF12E"/>
    <w:rsid w:val="000004A7"/>
  </w:style>
  <w:style w:type="paragraph" w:customStyle="1" w:styleId="E94B9A490F224752B726A885BF561A84">
    <w:name w:val="E94B9A490F224752B726A885BF561A84"/>
    <w:rsid w:val="000004A7"/>
  </w:style>
  <w:style w:type="paragraph" w:customStyle="1" w:styleId="F797E380BE644CF2AF75FEAF3FF9972C">
    <w:name w:val="F797E380BE644CF2AF75FEAF3FF9972C"/>
    <w:rsid w:val="000004A7"/>
  </w:style>
  <w:style w:type="paragraph" w:customStyle="1" w:styleId="B2031CA0E3AC47F69312CD7456316677">
    <w:name w:val="B2031CA0E3AC47F69312CD7456316677"/>
    <w:rsid w:val="00000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Nepejchalová Leona</cp:lastModifiedBy>
  <cp:revision>10</cp:revision>
  <dcterms:created xsi:type="dcterms:W3CDTF">2023-12-11T13:47:00Z</dcterms:created>
  <dcterms:modified xsi:type="dcterms:W3CDTF">2024-04-18T13:03:00Z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2018-09-26T00:00:00Z</vt:filetime>
  </property>
</Properties>
</file>