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7A4" w:rsidRDefault="00DE67A4">
      <w:pPr>
        <w:jc w:val="center"/>
        <w:rPr>
          <w:bCs/>
        </w:rPr>
      </w:pPr>
      <w:r>
        <w:rPr>
          <w:bCs/>
        </w:rPr>
        <w:t>PŘÍBALOVÁ INFORMACE</w:t>
      </w:r>
      <w:r w:rsidR="00BA647B">
        <w:rPr>
          <w:bCs/>
        </w:rPr>
        <w:t xml:space="preserve"> PRO</w:t>
      </w:r>
    </w:p>
    <w:p w:rsidR="00BA647B" w:rsidRDefault="00BA647B">
      <w:pPr>
        <w:jc w:val="center"/>
        <w:rPr>
          <w:bCs/>
        </w:rPr>
      </w:pPr>
      <w:r>
        <w:t>NOROCILLIN 300 mg/ml injekční suspenze</w:t>
      </w:r>
    </w:p>
    <w:p w:rsidR="00DE67A4" w:rsidRDefault="00DE67A4">
      <w:pPr>
        <w:rPr>
          <w:bCs/>
        </w:rPr>
      </w:pPr>
    </w:p>
    <w:p w:rsidR="00DE67A4" w:rsidRDefault="00DE67A4">
      <w:pPr>
        <w:pStyle w:val="Zkladntext3"/>
      </w:pPr>
      <w:r w:rsidRPr="00C205B0">
        <w:rPr>
          <w:highlight w:val="lightGray"/>
        </w:rPr>
        <w:t>1.</w:t>
      </w:r>
      <w:r>
        <w:tab/>
        <w:t>JMÉNO A ADRESA DRŽITELE ROZHODNUTÍ O REGISTRACI                     A DRŽITELE POVOLENÍ K VÝROBĚ ODPOVĚDNÉHO ZA UVOLNĚNÍ ŠARŽE, POKUD SE NESHODUJE</w:t>
      </w:r>
    </w:p>
    <w:p w:rsidR="00DE67A4" w:rsidRDefault="00DE67A4">
      <w:pPr>
        <w:rPr>
          <w:bCs/>
        </w:rPr>
      </w:pPr>
    </w:p>
    <w:p w:rsidR="001E22E5" w:rsidRPr="00AC6819" w:rsidRDefault="001E22E5" w:rsidP="001E22E5">
      <w:pPr>
        <w:rPr>
          <w:rFonts w:eastAsia="Calibri"/>
          <w:b w:val="0"/>
          <w:szCs w:val="22"/>
          <w:lang w:val="en-GB" w:eastAsia="en-US"/>
        </w:rPr>
      </w:pPr>
      <w:r w:rsidRPr="006928E7">
        <w:rPr>
          <w:b w:val="0"/>
          <w:iCs/>
          <w:u w:val="single"/>
        </w:rPr>
        <w:t>Držitel rozhodnutí o registraci:</w:t>
      </w:r>
      <w:r w:rsidRPr="00AC6819">
        <w:rPr>
          <w:rFonts w:eastAsia="Calibri"/>
          <w:b w:val="0"/>
          <w:szCs w:val="22"/>
          <w:lang w:val="en-GB" w:eastAsia="en-US"/>
        </w:rPr>
        <w:t xml:space="preserve"> </w:t>
      </w:r>
    </w:p>
    <w:p w:rsidR="001E22E5" w:rsidRDefault="001E22E5" w:rsidP="001E22E5">
      <w:pPr>
        <w:pStyle w:val="Zkladntext"/>
      </w:pPr>
      <w:r>
        <w:t xml:space="preserve">Norbrook </w:t>
      </w:r>
      <w:proofErr w:type="spellStart"/>
      <w:r>
        <w:t>Laboratories</w:t>
      </w:r>
      <w:proofErr w:type="spellEnd"/>
      <w:r>
        <w:t xml:space="preserve"> (</w:t>
      </w:r>
      <w:proofErr w:type="spellStart"/>
      <w:r>
        <w:t>Ireland</w:t>
      </w:r>
      <w:proofErr w:type="spellEnd"/>
      <w:r>
        <w:t xml:space="preserve">) Limited, </w:t>
      </w:r>
      <w:proofErr w:type="spellStart"/>
      <w:r>
        <w:t>Rossmore</w:t>
      </w:r>
      <w:proofErr w:type="spellEnd"/>
      <w:r>
        <w:t xml:space="preserve"> Industrial </w:t>
      </w:r>
      <w:proofErr w:type="spellStart"/>
      <w:r>
        <w:t>Estate</w:t>
      </w:r>
      <w:proofErr w:type="spellEnd"/>
      <w:r>
        <w:t xml:space="preserve">, </w:t>
      </w:r>
      <w:proofErr w:type="spellStart"/>
      <w:r>
        <w:t>Monaghan</w:t>
      </w:r>
      <w:proofErr w:type="spellEnd"/>
      <w:r>
        <w:t>, Irsko</w:t>
      </w:r>
    </w:p>
    <w:p w:rsidR="001E22E5" w:rsidRDefault="001E22E5" w:rsidP="001E22E5">
      <w:pPr>
        <w:rPr>
          <w:bCs/>
        </w:rPr>
      </w:pPr>
    </w:p>
    <w:p w:rsidR="001E22E5" w:rsidRDefault="001E22E5" w:rsidP="001E22E5">
      <w:pPr>
        <w:rPr>
          <w:b w:val="0"/>
        </w:rPr>
      </w:pPr>
      <w:r w:rsidRPr="006928E7">
        <w:rPr>
          <w:b w:val="0"/>
          <w:bCs/>
          <w:u w:val="single"/>
        </w:rPr>
        <w:t>Výrobce odpovědný za uvolnění šarže</w:t>
      </w:r>
      <w:r w:rsidRPr="006928E7">
        <w:rPr>
          <w:b w:val="0"/>
        </w:rPr>
        <w:t>:</w:t>
      </w:r>
    </w:p>
    <w:p w:rsidR="000E12B3" w:rsidRDefault="000E12B3" w:rsidP="000E12B3">
      <w:pPr>
        <w:spacing w:line="276" w:lineRule="auto"/>
        <w:rPr>
          <w:rFonts w:eastAsia="Calibri"/>
          <w:b w:val="0"/>
          <w:szCs w:val="22"/>
          <w:highlight w:val="lightGray"/>
          <w:lang w:eastAsia="en-US"/>
        </w:rPr>
      </w:pPr>
      <w:r w:rsidRPr="00CD31B6">
        <w:rPr>
          <w:rFonts w:eastAsia="Calibri"/>
          <w:b w:val="0"/>
          <w:szCs w:val="22"/>
          <w:highlight w:val="lightGray"/>
          <w:lang w:eastAsia="en-US"/>
        </w:rPr>
        <w:t xml:space="preserve">Norbrook </w:t>
      </w:r>
      <w:proofErr w:type="spellStart"/>
      <w:r w:rsidRPr="00CD31B6">
        <w:rPr>
          <w:rFonts w:eastAsia="Calibri"/>
          <w:b w:val="0"/>
          <w:szCs w:val="22"/>
          <w:highlight w:val="lightGray"/>
          <w:lang w:eastAsia="en-US"/>
        </w:rPr>
        <w:t>Manufacturing</w:t>
      </w:r>
      <w:proofErr w:type="spellEnd"/>
      <w:r w:rsidRPr="00CD31B6">
        <w:rPr>
          <w:rFonts w:eastAsia="Calibri"/>
          <w:b w:val="0"/>
          <w:szCs w:val="22"/>
          <w:highlight w:val="lightGray"/>
          <w:lang w:eastAsia="en-US"/>
        </w:rPr>
        <w:t xml:space="preserve"> Ltd, </w:t>
      </w:r>
      <w:proofErr w:type="spellStart"/>
      <w:r w:rsidRPr="00CD31B6">
        <w:rPr>
          <w:rFonts w:eastAsia="Calibri"/>
          <w:b w:val="0"/>
          <w:szCs w:val="22"/>
          <w:highlight w:val="lightGray"/>
          <w:lang w:eastAsia="en-US"/>
        </w:rPr>
        <w:t>Rossmore</w:t>
      </w:r>
      <w:proofErr w:type="spellEnd"/>
      <w:r w:rsidRPr="00CD31B6">
        <w:rPr>
          <w:rFonts w:eastAsia="Calibri"/>
          <w:b w:val="0"/>
          <w:szCs w:val="22"/>
          <w:highlight w:val="lightGray"/>
          <w:lang w:eastAsia="en-US"/>
        </w:rPr>
        <w:t xml:space="preserve"> Industrial </w:t>
      </w:r>
      <w:proofErr w:type="spellStart"/>
      <w:r w:rsidRPr="00CD31B6">
        <w:rPr>
          <w:rFonts w:eastAsia="Calibri"/>
          <w:b w:val="0"/>
          <w:szCs w:val="22"/>
          <w:highlight w:val="lightGray"/>
          <w:lang w:eastAsia="en-US"/>
        </w:rPr>
        <w:t>Estate</w:t>
      </w:r>
      <w:proofErr w:type="spellEnd"/>
      <w:r w:rsidRPr="00CD31B6">
        <w:rPr>
          <w:rFonts w:eastAsia="Calibri"/>
          <w:b w:val="0"/>
          <w:szCs w:val="22"/>
          <w:highlight w:val="lightGray"/>
          <w:lang w:eastAsia="en-US"/>
        </w:rPr>
        <w:t xml:space="preserve">, </w:t>
      </w:r>
      <w:proofErr w:type="spellStart"/>
      <w:r w:rsidRPr="00CD31B6">
        <w:rPr>
          <w:rFonts w:eastAsia="Calibri"/>
          <w:b w:val="0"/>
          <w:szCs w:val="22"/>
          <w:highlight w:val="lightGray"/>
          <w:lang w:eastAsia="en-US"/>
        </w:rPr>
        <w:t>Monaghan</w:t>
      </w:r>
      <w:proofErr w:type="spellEnd"/>
      <w:r w:rsidRPr="00CD31B6">
        <w:rPr>
          <w:rFonts w:eastAsia="Calibri"/>
          <w:b w:val="0"/>
          <w:szCs w:val="22"/>
          <w:highlight w:val="lightGray"/>
          <w:lang w:eastAsia="en-US"/>
        </w:rPr>
        <w:t>, Irsko</w:t>
      </w:r>
    </w:p>
    <w:p w:rsidR="00175448" w:rsidRDefault="00175448" w:rsidP="000E12B3">
      <w:pPr>
        <w:spacing w:line="276" w:lineRule="auto"/>
      </w:pPr>
    </w:p>
    <w:p w:rsidR="001E22E5" w:rsidRDefault="000E12B3" w:rsidP="005E1026">
      <w:pPr>
        <w:pStyle w:val="Nadpis1"/>
      </w:pPr>
      <w:r w:rsidRPr="00CD31B6">
        <w:rPr>
          <w:sz w:val="22"/>
        </w:rPr>
        <w:t xml:space="preserve">Norbrook </w:t>
      </w:r>
      <w:proofErr w:type="spellStart"/>
      <w:r w:rsidRPr="00CD31B6">
        <w:rPr>
          <w:sz w:val="22"/>
        </w:rPr>
        <w:t>Laboratories</w:t>
      </w:r>
      <w:proofErr w:type="spellEnd"/>
      <w:r w:rsidRPr="00CD31B6">
        <w:rPr>
          <w:sz w:val="22"/>
        </w:rPr>
        <w:t xml:space="preserve"> Limited, </w:t>
      </w:r>
      <w:proofErr w:type="spellStart"/>
      <w:r w:rsidRPr="00CD31B6">
        <w:rPr>
          <w:sz w:val="22"/>
          <w:lang w:val="sk-SK"/>
        </w:rPr>
        <w:t>Station</w:t>
      </w:r>
      <w:proofErr w:type="spellEnd"/>
      <w:r w:rsidRPr="00CD31B6">
        <w:rPr>
          <w:sz w:val="22"/>
          <w:lang w:val="sk-SK"/>
        </w:rPr>
        <w:t xml:space="preserve"> Works, </w:t>
      </w:r>
      <w:proofErr w:type="spellStart"/>
      <w:r w:rsidRPr="00CD31B6">
        <w:rPr>
          <w:sz w:val="22"/>
          <w:lang w:val="sk-SK"/>
        </w:rPr>
        <w:t>Camlough</w:t>
      </w:r>
      <w:proofErr w:type="spellEnd"/>
      <w:r w:rsidRPr="00CD31B6">
        <w:rPr>
          <w:sz w:val="22"/>
          <w:lang w:val="sk-SK"/>
        </w:rPr>
        <w:t xml:space="preserve"> Road, </w:t>
      </w:r>
      <w:proofErr w:type="spellStart"/>
      <w:r w:rsidRPr="00CD31B6">
        <w:rPr>
          <w:sz w:val="22"/>
          <w:lang w:val="sk-SK"/>
        </w:rPr>
        <w:t>Newry</w:t>
      </w:r>
      <w:proofErr w:type="spellEnd"/>
      <w:r w:rsidRPr="00CD31B6">
        <w:rPr>
          <w:sz w:val="22"/>
          <w:lang w:val="sk-SK"/>
        </w:rPr>
        <w:t xml:space="preserve">, Co </w:t>
      </w:r>
      <w:proofErr w:type="spellStart"/>
      <w:r w:rsidRPr="00CD31B6">
        <w:rPr>
          <w:sz w:val="22"/>
          <w:lang w:val="sk-SK"/>
        </w:rPr>
        <w:t>Down</w:t>
      </w:r>
      <w:proofErr w:type="spellEnd"/>
      <w:r w:rsidRPr="00CD31B6">
        <w:rPr>
          <w:sz w:val="22"/>
          <w:lang w:val="sk-SK"/>
        </w:rPr>
        <w:t xml:space="preserve">, BT35 6JP Severní </w:t>
      </w:r>
      <w:proofErr w:type="spellStart"/>
      <w:r w:rsidR="00CC398D" w:rsidRPr="00CD31B6">
        <w:rPr>
          <w:sz w:val="22"/>
          <w:lang w:val="sk-SK"/>
        </w:rPr>
        <w:t>I</w:t>
      </w:r>
      <w:r w:rsidRPr="00CD31B6">
        <w:rPr>
          <w:sz w:val="22"/>
          <w:lang w:val="sk-SK"/>
        </w:rPr>
        <w:t>rsko</w:t>
      </w:r>
      <w:proofErr w:type="spellEnd"/>
    </w:p>
    <w:p w:rsidR="00DE67A4" w:rsidRDefault="00DE67A4">
      <w:pPr>
        <w:rPr>
          <w:bCs/>
          <w:lang w:val="sk-SK"/>
        </w:rPr>
      </w:pPr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2.</w:t>
      </w:r>
      <w:r>
        <w:rPr>
          <w:bCs/>
        </w:rPr>
        <w:tab/>
        <w:t>NÁZEV VETERINÁRNÍHO LÉČIVÉHO PŘÍPRAVKU</w:t>
      </w:r>
    </w:p>
    <w:p w:rsidR="00DE67A4" w:rsidRDefault="00DE67A4">
      <w:pPr>
        <w:rPr>
          <w:bCs/>
        </w:rPr>
      </w:pPr>
    </w:p>
    <w:p w:rsidR="00DE67A4" w:rsidRDefault="00DE67A4">
      <w:pPr>
        <w:pStyle w:val="Zkladntext"/>
      </w:pPr>
      <w:r>
        <w:t>NOROCILLIN 300 mg/ml injekční suspenze</w:t>
      </w:r>
    </w:p>
    <w:p w:rsidR="00DE67A4" w:rsidRDefault="00DE67A4">
      <w:pPr>
        <w:pStyle w:val="Zkladntext"/>
      </w:pPr>
      <w:proofErr w:type="spellStart"/>
      <w:r>
        <w:t>Procaini</w:t>
      </w:r>
      <w:proofErr w:type="spellEnd"/>
      <w:r>
        <w:t xml:space="preserve"> </w:t>
      </w:r>
      <w:proofErr w:type="spellStart"/>
      <w:r>
        <w:t>benzylpenicillinum</w:t>
      </w:r>
      <w:proofErr w:type="spellEnd"/>
      <w:r>
        <w:t xml:space="preserve"> </w:t>
      </w:r>
      <w:proofErr w:type="spellStart"/>
      <w:r>
        <w:t>monohydricum</w:t>
      </w:r>
      <w:proofErr w:type="spellEnd"/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3.</w:t>
      </w:r>
      <w:r>
        <w:rPr>
          <w:bCs/>
        </w:rPr>
        <w:tab/>
        <w:t>OBSAH LÉČIVÝCH A OSTATNÍCH LÁTEK</w:t>
      </w:r>
    </w:p>
    <w:p w:rsidR="00DE67A4" w:rsidRDefault="00DE67A4">
      <w:pPr>
        <w:rPr>
          <w:bCs/>
        </w:rPr>
      </w:pPr>
    </w:p>
    <w:p w:rsidR="00710CAE" w:rsidRPr="00710CAE" w:rsidRDefault="00710CAE">
      <w:pPr>
        <w:rPr>
          <w:b w:val="0"/>
          <w:bCs/>
        </w:rPr>
      </w:pPr>
      <w:r>
        <w:rPr>
          <w:b w:val="0"/>
          <w:bCs/>
        </w:rPr>
        <w:t>1 ml obsahuje:</w:t>
      </w:r>
    </w:p>
    <w:p w:rsidR="00710CAE" w:rsidRDefault="00710CAE">
      <w:pPr>
        <w:rPr>
          <w:bCs/>
        </w:rPr>
      </w:pPr>
    </w:p>
    <w:p w:rsidR="00DE67A4" w:rsidRDefault="00DE67A4">
      <w:pPr>
        <w:rPr>
          <w:b w:val="0"/>
        </w:rPr>
      </w:pPr>
      <w:r>
        <w:rPr>
          <w:bCs/>
        </w:rPr>
        <w:t>Léčivá látka:</w:t>
      </w:r>
    </w:p>
    <w:p w:rsidR="00DE67A4" w:rsidRDefault="00DE67A4">
      <w:pPr>
        <w:rPr>
          <w:sz w:val="28"/>
        </w:rPr>
      </w:pPr>
      <w:proofErr w:type="spellStart"/>
      <w:r>
        <w:rPr>
          <w:b w:val="0"/>
        </w:rPr>
        <w:t>Procaini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benzylpenicillinum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monohydricum</w:t>
      </w:r>
      <w:proofErr w:type="spellEnd"/>
      <w:r>
        <w:rPr>
          <w:b w:val="0"/>
        </w:rPr>
        <w:t xml:space="preserve">    300 mg    </w:t>
      </w:r>
      <w:r>
        <w:rPr>
          <w:sz w:val="28"/>
        </w:rPr>
        <w:t xml:space="preserve"> </w:t>
      </w:r>
    </w:p>
    <w:p w:rsidR="00BA647B" w:rsidRDefault="00BA647B">
      <w:pPr>
        <w:rPr>
          <w:b w:val="0"/>
        </w:rPr>
      </w:pPr>
    </w:p>
    <w:p w:rsidR="00BA647B" w:rsidRDefault="00BA647B" w:rsidP="00BA647B">
      <w:pPr>
        <w:jc w:val="both"/>
      </w:pPr>
      <w:r>
        <w:t>Pomocné látky:</w:t>
      </w:r>
    </w:p>
    <w:p w:rsidR="00BA647B" w:rsidRDefault="00BA647B" w:rsidP="00BA647B">
      <w:pPr>
        <w:jc w:val="both"/>
        <w:rPr>
          <w:b w:val="0"/>
        </w:rPr>
      </w:pPr>
      <w:r>
        <w:rPr>
          <w:b w:val="0"/>
        </w:rPr>
        <w:t xml:space="preserve">Sodná sůl </w:t>
      </w:r>
      <w:proofErr w:type="spellStart"/>
      <w:r>
        <w:rPr>
          <w:b w:val="0"/>
        </w:rPr>
        <w:t>methylparabenu</w:t>
      </w:r>
      <w:proofErr w:type="spellEnd"/>
      <w:r>
        <w:rPr>
          <w:b w:val="0"/>
        </w:rPr>
        <w:t xml:space="preserve"> (E219)   1,28 mg</w:t>
      </w:r>
    </w:p>
    <w:p w:rsidR="00BA647B" w:rsidRDefault="00BA647B" w:rsidP="00BA647B">
      <w:pPr>
        <w:jc w:val="both"/>
        <w:rPr>
          <w:b w:val="0"/>
        </w:rPr>
      </w:pPr>
      <w:r>
        <w:rPr>
          <w:b w:val="0"/>
        </w:rPr>
        <w:t xml:space="preserve">Sodná sůl </w:t>
      </w:r>
      <w:proofErr w:type="spellStart"/>
      <w:r>
        <w:rPr>
          <w:b w:val="0"/>
        </w:rPr>
        <w:t>ethylparabenu</w:t>
      </w:r>
      <w:proofErr w:type="spellEnd"/>
      <w:r>
        <w:rPr>
          <w:b w:val="0"/>
        </w:rPr>
        <w:t xml:space="preserve"> (E215)   0,26 mg</w:t>
      </w:r>
    </w:p>
    <w:p w:rsidR="00BA647B" w:rsidRDefault="00BA647B" w:rsidP="00BA647B">
      <w:pPr>
        <w:rPr>
          <w:b w:val="0"/>
        </w:rPr>
      </w:pPr>
      <w:r>
        <w:rPr>
          <w:b w:val="0"/>
        </w:rPr>
        <w:t xml:space="preserve">Sodná sůl </w:t>
      </w:r>
      <w:proofErr w:type="spellStart"/>
      <w:r>
        <w:rPr>
          <w:b w:val="0"/>
        </w:rPr>
        <w:t>propylparabenu</w:t>
      </w:r>
      <w:proofErr w:type="spellEnd"/>
      <w:r>
        <w:rPr>
          <w:b w:val="0"/>
        </w:rPr>
        <w:t xml:space="preserve">   0,18 mg</w:t>
      </w:r>
    </w:p>
    <w:p w:rsidR="00DE67A4" w:rsidRDefault="00DE67A4">
      <w:pPr>
        <w:jc w:val="both"/>
        <w:rPr>
          <w:b w:val="0"/>
        </w:rPr>
      </w:pPr>
    </w:p>
    <w:p w:rsidR="00DE67A4" w:rsidRDefault="00710CAE">
      <w:pPr>
        <w:jc w:val="both"/>
        <w:rPr>
          <w:b w:val="0"/>
        </w:rPr>
      </w:pPr>
      <w:r>
        <w:rPr>
          <w:b w:val="0"/>
          <w:bCs/>
        </w:rPr>
        <w:t>Bílá suspenze</w:t>
      </w:r>
    </w:p>
    <w:p w:rsidR="00DE67A4" w:rsidRDefault="00DE67A4">
      <w:pPr>
        <w:rPr>
          <w:bCs/>
        </w:rPr>
      </w:pPr>
    </w:p>
    <w:p w:rsidR="00BE22F5" w:rsidRDefault="00BE22F5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4.</w:t>
      </w:r>
      <w:r>
        <w:rPr>
          <w:bCs/>
        </w:rPr>
        <w:tab/>
        <w:t>INDIKACE</w:t>
      </w:r>
    </w:p>
    <w:p w:rsidR="00DE67A4" w:rsidRDefault="00DE67A4">
      <w:pPr>
        <w:rPr>
          <w:bCs/>
        </w:rPr>
      </w:pPr>
    </w:p>
    <w:p w:rsidR="00DE67A4" w:rsidRDefault="00DE67A4">
      <w:pPr>
        <w:pStyle w:val="Zkladntext"/>
      </w:pPr>
      <w:r>
        <w:t xml:space="preserve">Léčba systémových infekcí </w:t>
      </w:r>
      <w:r w:rsidR="009679DF">
        <w:t xml:space="preserve">vyvolaných </w:t>
      </w:r>
      <w:r>
        <w:t xml:space="preserve">mikroorganismy citlivými </w:t>
      </w:r>
      <w:r w:rsidR="009679DF">
        <w:t>k penicilinu jako jsou:</w:t>
      </w:r>
    </w:p>
    <w:p w:rsidR="009679DF" w:rsidRDefault="009679DF">
      <w:pPr>
        <w:pStyle w:val="Zkladntext"/>
      </w:pPr>
    </w:p>
    <w:p w:rsidR="009679DF" w:rsidRPr="00554354" w:rsidRDefault="004368AF" w:rsidP="009679DF">
      <w:pPr>
        <w:pStyle w:val="Zkladntext"/>
        <w:rPr>
          <w:i/>
        </w:rPr>
      </w:pPr>
      <w:proofErr w:type="spellStart"/>
      <w:r>
        <w:rPr>
          <w:i/>
        </w:rPr>
        <w:t>Trueperella</w:t>
      </w:r>
      <w:proofErr w:type="spellEnd"/>
      <w:r w:rsidRPr="00554354">
        <w:rPr>
          <w:i/>
        </w:rPr>
        <w:t xml:space="preserve"> </w:t>
      </w:r>
      <w:proofErr w:type="spellStart"/>
      <w:r w:rsidR="009679DF" w:rsidRPr="00554354">
        <w:rPr>
          <w:i/>
        </w:rPr>
        <w:t>pyogenes</w:t>
      </w:r>
      <w:proofErr w:type="spellEnd"/>
    </w:p>
    <w:p w:rsidR="009679DF" w:rsidRPr="00554354" w:rsidRDefault="009679DF" w:rsidP="009679DF">
      <w:pPr>
        <w:pStyle w:val="Zkladntext"/>
        <w:rPr>
          <w:i/>
        </w:rPr>
      </w:pPr>
      <w:proofErr w:type="spellStart"/>
      <w:r w:rsidRPr="00554354">
        <w:rPr>
          <w:i/>
        </w:rPr>
        <w:t>Erysipelothrix</w:t>
      </w:r>
      <w:proofErr w:type="spellEnd"/>
      <w:r w:rsidRPr="00554354">
        <w:rPr>
          <w:i/>
        </w:rPr>
        <w:t xml:space="preserve"> </w:t>
      </w:r>
      <w:proofErr w:type="spellStart"/>
      <w:r w:rsidRPr="00554354">
        <w:rPr>
          <w:i/>
        </w:rPr>
        <w:t>rhusiopathiae</w:t>
      </w:r>
      <w:proofErr w:type="spellEnd"/>
    </w:p>
    <w:p w:rsidR="009679DF" w:rsidRPr="001426ED" w:rsidRDefault="009679DF" w:rsidP="009679DF">
      <w:pPr>
        <w:pStyle w:val="Zkladntext"/>
      </w:pPr>
      <w:proofErr w:type="spellStart"/>
      <w:r w:rsidRPr="00554354">
        <w:rPr>
          <w:i/>
        </w:rPr>
        <w:t>Listeria</w:t>
      </w:r>
      <w:proofErr w:type="spellEnd"/>
      <w:r w:rsidRPr="00554354">
        <w:rPr>
          <w:i/>
        </w:rPr>
        <w:t xml:space="preserve"> </w:t>
      </w:r>
      <w:proofErr w:type="spellStart"/>
      <w:r w:rsidRPr="001426ED">
        <w:t>spp</w:t>
      </w:r>
      <w:proofErr w:type="spellEnd"/>
      <w:r w:rsidRPr="001426ED">
        <w:t>.</w:t>
      </w:r>
    </w:p>
    <w:p w:rsidR="009679DF" w:rsidRPr="00554354" w:rsidRDefault="004368AF" w:rsidP="009679DF">
      <w:pPr>
        <w:pStyle w:val="Zkladntext"/>
        <w:rPr>
          <w:i/>
        </w:rPr>
      </w:pPr>
      <w:proofErr w:type="spellStart"/>
      <w:r>
        <w:rPr>
          <w:i/>
        </w:rPr>
        <w:t>Mannheimia</w:t>
      </w:r>
      <w:proofErr w:type="spellEnd"/>
      <w:r w:rsidRPr="00554354">
        <w:rPr>
          <w:i/>
        </w:rPr>
        <w:t xml:space="preserve"> </w:t>
      </w:r>
      <w:proofErr w:type="spellStart"/>
      <w:r w:rsidR="009679DF" w:rsidRPr="00554354">
        <w:rPr>
          <w:i/>
        </w:rPr>
        <w:t>haemolytica</w:t>
      </w:r>
      <w:proofErr w:type="spellEnd"/>
    </w:p>
    <w:p w:rsidR="009679DF" w:rsidRPr="00554354" w:rsidRDefault="009679DF" w:rsidP="009679DF">
      <w:pPr>
        <w:pStyle w:val="Zkladntext"/>
        <w:rPr>
          <w:i/>
        </w:rPr>
      </w:pPr>
      <w:proofErr w:type="spellStart"/>
      <w:r w:rsidRPr="00554354">
        <w:rPr>
          <w:i/>
        </w:rPr>
        <w:t>Pasteurella</w:t>
      </w:r>
      <w:proofErr w:type="spellEnd"/>
      <w:r w:rsidRPr="00554354">
        <w:rPr>
          <w:i/>
        </w:rPr>
        <w:t xml:space="preserve"> </w:t>
      </w:r>
      <w:proofErr w:type="spellStart"/>
      <w:r w:rsidRPr="00554354">
        <w:rPr>
          <w:i/>
        </w:rPr>
        <w:t>multocida</w:t>
      </w:r>
      <w:proofErr w:type="spellEnd"/>
    </w:p>
    <w:p w:rsidR="009679DF" w:rsidRPr="001426ED" w:rsidRDefault="009679DF" w:rsidP="009679DF">
      <w:pPr>
        <w:pStyle w:val="Zkladntext"/>
      </w:pPr>
      <w:proofErr w:type="spellStart"/>
      <w:r w:rsidRPr="00554354">
        <w:rPr>
          <w:i/>
        </w:rPr>
        <w:t>Staphylococcus</w:t>
      </w:r>
      <w:proofErr w:type="spellEnd"/>
      <w:r w:rsidRPr="00554354">
        <w:rPr>
          <w:i/>
        </w:rPr>
        <w:t xml:space="preserve"> </w:t>
      </w:r>
      <w:proofErr w:type="spellStart"/>
      <w:r w:rsidRPr="001426ED">
        <w:t>spp</w:t>
      </w:r>
      <w:proofErr w:type="spellEnd"/>
      <w:r>
        <w:t>.</w:t>
      </w:r>
      <w:r w:rsidRPr="001426ED">
        <w:t xml:space="preserve"> (</w:t>
      </w:r>
      <w:r>
        <w:t xml:space="preserve">neprodukující </w:t>
      </w:r>
      <w:proofErr w:type="spellStart"/>
      <w:r>
        <w:t>penicilinázu</w:t>
      </w:r>
      <w:proofErr w:type="spellEnd"/>
      <w:r w:rsidRPr="001426ED">
        <w:t>)</w:t>
      </w:r>
    </w:p>
    <w:p w:rsidR="009679DF" w:rsidRDefault="009679DF" w:rsidP="009679DF">
      <w:pPr>
        <w:pStyle w:val="Zkladntext"/>
      </w:pPr>
      <w:proofErr w:type="spellStart"/>
      <w:r w:rsidRPr="00554354">
        <w:rPr>
          <w:i/>
        </w:rPr>
        <w:t>Streptococcus</w:t>
      </w:r>
      <w:proofErr w:type="spellEnd"/>
      <w:r w:rsidRPr="00554354">
        <w:rPr>
          <w:i/>
        </w:rPr>
        <w:t xml:space="preserve"> </w:t>
      </w:r>
      <w:proofErr w:type="spellStart"/>
      <w:r w:rsidRPr="001426ED">
        <w:t>spp</w:t>
      </w:r>
      <w:proofErr w:type="spellEnd"/>
      <w:r w:rsidRPr="001426ED">
        <w:t>.</w:t>
      </w:r>
      <w:r w:rsidRPr="00554354">
        <w:rPr>
          <w:i/>
        </w:rPr>
        <w:cr/>
      </w:r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5.</w:t>
      </w:r>
      <w:r>
        <w:rPr>
          <w:bCs/>
        </w:rPr>
        <w:t xml:space="preserve"> </w:t>
      </w:r>
      <w:r>
        <w:rPr>
          <w:bCs/>
        </w:rPr>
        <w:tab/>
        <w:t>KONTRAINDIKACE</w:t>
      </w:r>
    </w:p>
    <w:p w:rsidR="00DE67A4" w:rsidRDefault="00DE67A4">
      <w:pPr>
        <w:rPr>
          <w:bCs/>
        </w:rPr>
      </w:pPr>
    </w:p>
    <w:p w:rsidR="009679DF" w:rsidRDefault="009679DF" w:rsidP="009679DF">
      <w:pPr>
        <w:pStyle w:val="Zkladntext"/>
      </w:pPr>
      <w:r w:rsidRPr="002C6F72">
        <w:t xml:space="preserve">Nepoužívat v případech přecitlivělosti na </w:t>
      </w:r>
      <w:r>
        <w:t>peniciliny</w:t>
      </w:r>
      <w:r w:rsidRPr="002C6F72">
        <w:t xml:space="preserve"> nebo na některou z pomocných látek.</w:t>
      </w:r>
      <w:r w:rsidRPr="002C6F72" w:rsidDel="002C6F72">
        <w:t xml:space="preserve"> </w:t>
      </w:r>
    </w:p>
    <w:p w:rsidR="00DE67A4" w:rsidRDefault="00792C2A">
      <w:pPr>
        <w:pStyle w:val="Zkladntext"/>
      </w:pPr>
      <w:r>
        <w:t xml:space="preserve">Nepodávat </w:t>
      </w:r>
      <w:r w:rsidR="00DE67A4">
        <w:t xml:space="preserve">intravenózně. </w:t>
      </w:r>
    </w:p>
    <w:p w:rsidR="00DE67A4" w:rsidRDefault="00DE67A4">
      <w:pPr>
        <w:pStyle w:val="Zkladntext"/>
      </w:pPr>
      <w:r>
        <w:t>Nepoužívat u ovcí, jejichž mléko je určeno pro lidsk</w:t>
      </w:r>
      <w:r w:rsidR="005E6A9D">
        <w:t xml:space="preserve">ou </w:t>
      </w:r>
      <w:proofErr w:type="gramStart"/>
      <w:r w:rsidR="005E6A9D">
        <w:t>spotřebu.</w:t>
      </w:r>
      <w:r>
        <w:t>.</w:t>
      </w:r>
      <w:proofErr w:type="gramEnd"/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6.</w:t>
      </w:r>
      <w:r>
        <w:rPr>
          <w:bCs/>
        </w:rPr>
        <w:tab/>
        <w:t>NEŽÁDOUCÍ ÚČINKY</w:t>
      </w:r>
    </w:p>
    <w:p w:rsidR="00DE67A4" w:rsidRDefault="00DE67A4">
      <w:pPr>
        <w:rPr>
          <w:bCs/>
        </w:rPr>
      </w:pPr>
    </w:p>
    <w:p w:rsidR="00DE67A4" w:rsidRDefault="00DE67A4">
      <w:pPr>
        <w:pStyle w:val="Zkladntext"/>
      </w:pPr>
      <w:r>
        <w:t>Dočasný výskyt pyrexie, vomitu, třesu, apatie nebo poruch koordinace pohybu u selat a odstávčat.</w:t>
      </w:r>
    </w:p>
    <w:p w:rsidR="009A25DD" w:rsidRDefault="000A55C5">
      <w:pPr>
        <w:pStyle w:val="Zkladntext"/>
      </w:pPr>
      <w:r w:rsidRPr="000A55C5">
        <w:t>U mladých selat byly pozorovány systémové toxické účinky, které jsou přechodné, mohou však být potenciálně smrtelné, zejména při vyšších dávkách.</w:t>
      </w:r>
    </w:p>
    <w:p w:rsidR="000A55C5" w:rsidRDefault="000A55C5">
      <w:pPr>
        <w:pStyle w:val="Zkladntext"/>
      </w:pPr>
    </w:p>
    <w:p w:rsidR="009A25DD" w:rsidRPr="009A25DD" w:rsidRDefault="009A25DD" w:rsidP="009A25DD">
      <w:pPr>
        <w:jc w:val="both"/>
        <w:rPr>
          <w:b w:val="0"/>
          <w:bCs/>
        </w:rPr>
      </w:pPr>
      <w:r w:rsidRPr="009A25DD">
        <w:rPr>
          <w:b w:val="0"/>
          <w:bCs/>
        </w:rPr>
        <w:t xml:space="preserve">Pokud se u vašeho zvířete vyskytne kterýkoli z nežádoucích účinků, sdělte to svému veterinárnímu lékaři. Stejně postupujte v případě jakýchkoli nežádoucích účinků, které nejsou uvedeny v této příbalové informaci. Nežádoucí účinky můžete hlásit prostřednictvím formuláře na webových stránkách ÚSKVBL elektronicky, nebo také přímo na adresu: </w:t>
      </w:r>
    </w:p>
    <w:p w:rsidR="009A25DD" w:rsidRPr="009A25DD" w:rsidRDefault="009A25DD" w:rsidP="009A25DD">
      <w:pPr>
        <w:rPr>
          <w:b w:val="0"/>
          <w:bCs/>
        </w:rPr>
      </w:pPr>
      <w:r w:rsidRPr="009A25DD">
        <w:rPr>
          <w:b w:val="0"/>
          <w:bCs/>
        </w:rPr>
        <w:t xml:space="preserve">Ústav pro státní kontrolu veterinárních biopreparátů a léčiv </w:t>
      </w:r>
    </w:p>
    <w:p w:rsidR="009A25DD" w:rsidRPr="009A25DD" w:rsidRDefault="009A25DD" w:rsidP="009A25DD">
      <w:pPr>
        <w:rPr>
          <w:b w:val="0"/>
          <w:bCs/>
        </w:rPr>
      </w:pPr>
      <w:r w:rsidRPr="009A25DD">
        <w:rPr>
          <w:b w:val="0"/>
          <w:bCs/>
        </w:rPr>
        <w:t xml:space="preserve">Hudcova </w:t>
      </w:r>
      <w:proofErr w:type="gramStart"/>
      <w:r w:rsidRPr="009A25DD">
        <w:rPr>
          <w:b w:val="0"/>
          <w:bCs/>
        </w:rPr>
        <w:t>56a</w:t>
      </w:r>
      <w:proofErr w:type="gramEnd"/>
    </w:p>
    <w:p w:rsidR="009A25DD" w:rsidRPr="009A25DD" w:rsidRDefault="009A25DD" w:rsidP="009A25DD">
      <w:pPr>
        <w:rPr>
          <w:b w:val="0"/>
          <w:bCs/>
        </w:rPr>
      </w:pPr>
      <w:r w:rsidRPr="009A25DD">
        <w:rPr>
          <w:b w:val="0"/>
          <w:bCs/>
        </w:rPr>
        <w:t>621 00 Brno </w:t>
      </w:r>
    </w:p>
    <w:p w:rsidR="009A25DD" w:rsidRPr="009A25DD" w:rsidRDefault="009A25DD" w:rsidP="009A25DD">
      <w:pPr>
        <w:rPr>
          <w:b w:val="0"/>
          <w:bCs/>
        </w:rPr>
      </w:pPr>
      <w:r w:rsidRPr="009A25DD">
        <w:rPr>
          <w:b w:val="0"/>
          <w:bCs/>
        </w:rPr>
        <w:t xml:space="preserve">Mail: </w:t>
      </w:r>
      <w:hyperlink r:id="rId7" w:history="1">
        <w:r w:rsidRPr="009A25DD">
          <w:rPr>
            <w:b w:val="0"/>
            <w:bCs/>
          </w:rPr>
          <w:t>adr@uskvbl.cz</w:t>
        </w:r>
      </w:hyperlink>
      <w:r>
        <w:rPr>
          <w:b w:val="0"/>
          <w:bCs/>
        </w:rPr>
        <w:t xml:space="preserve">  </w:t>
      </w:r>
    </w:p>
    <w:p w:rsidR="00DE67A4" w:rsidRPr="009A25DD" w:rsidRDefault="009A25DD" w:rsidP="009A25DD">
      <w:pPr>
        <w:rPr>
          <w:b w:val="0"/>
          <w:bCs/>
        </w:rPr>
      </w:pPr>
      <w:r w:rsidRPr="009A25DD">
        <w:rPr>
          <w:b w:val="0"/>
          <w:bCs/>
        </w:rPr>
        <w:t xml:space="preserve">Webové stránky: </w:t>
      </w:r>
      <w:hyperlink r:id="rId8" w:history="1">
        <w:r w:rsidRPr="009A25DD">
          <w:rPr>
            <w:b w:val="0"/>
            <w:bCs/>
          </w:rPr>
          <w:t>http://www.uskvbl.cz/cs/farmakovigilance</w:t>
        </w:r>
      </w:hyperlink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7.</w:t>
      </w:r>
      <w:r>
        <w:rPr>
          <w:bCs/>
        </w:rPr>
        <w:tab/>
        <w:t>CÍLOVÝ DRUH ZVÍŘAT</w:t>
      </w:r>
    </w:p>
    <w:p w:rsidR="00DE67A4" w:rsidRDefault="00DE67A4">
      <w:pPr>
        <w:rPr>
          <w:b w:val="0"/>
          <w:bCs/>
        </w:rPr>
      </w:pPr>
    </w:p>
    <w:p w:rsidR="00DE67A4" w:rsidRDefault="00DE67A4">
      <w:pPr>
        <w:rPr>
          <w:b w:val="0"/>
          <w:bCs/>
        </w:rPr>
      </w:pPr>
      <w:r>
        <w:rPr>
          <w:b w:val="0"/>
          <w:bCs/>
        </w:rPr>
        <w:t>Skot, ovce, prasata.</w:t>
      </w:r>
    </w:p>
    <w:p w:rsidR="00DE67A4" w:rsidRDefault="00DE67A4">
      <w:pPr>
        <w:rPr>
          <w:bCs/>
        </w:rPr>
      </w:pPr>
    </w:p>
    <w:p w:rsidR="00BE22F5" w:rsidRDefault="00BE22F5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8.</w:t>
      </w:r>
      <w:r>
        <w:rPr>
          <w:bCs/>
        </w:rPr>
        <w:tab/>
        <w:t>DÁVKOVÁNÍ PRO KAŽDÝ DRUH, CESTA(Y) A ZPŮSOB PODÁNÍ</w:t>
      </w:r>
    </w:p>
    <w:p w:rsidR="00DE67A4" w:rsidRDefault="00DE67A4">
      <w:pPr>
        <w:rPr>
          <w:bCs/>
        </w:rPr>
      </w:pPr>
    </w:p>
    <w:p w:rsidR="006A027E" w:rsidRDefault="006A027E">
      <w:pPr>
        <w:pStyle w:val="Zkladntext"/>
      </w:pPr>
      <w:r w:rsidRPr="006A027E">
        <w:t>Intramuskulární podání.</w:t>
      </w:r>
    </w:p>
    <w:p w:rsidR="006A027E" w:rsidRDefault="006A027E">
      <w:pPr>
        <w:pStyle w:val="Zkladntext"/>
      </w:pPr>
    </w:p>
    <w:p w:rsidR="00DE67A4" w:rsidRDefault="00DE67A4">
      <w:pPr>
        <w:pStyle w:val="Zkladntext"/>
      </w:pPr>
      <w:r>
        <w:t xml:space="preserve">Obecná dávka je 10 mg </w:t>
      </w:r>
      <w:r w:rsidR="006A027E" w:rsidRPr="006A027E">
        <w:t xml:space="preserve">prokain </w:t>
      </w:r>
      <w:proofErr w:type="spellStart"/>
      <w:r w:rsidR="006A027E" w:rsidRPr="006A027E">
        <w:t>benzylpenicilinu</w:t>
      </w:r>
      <w:proofErr w:type="spellEnd"/>
      <w:r w:rsidR="006A027E" w:rsidRPr="006A027E">
        <w:t xml:space="preserve"> </w:t>
      </w:r>
      <w:r>
        <w:t>na kg ž. hm. (</w:t>
      </w:r>
      <w:proofErr w:type="gramStart"/>
      <w:r>
        <w:t>t.j.</w:t>
      </w:r>
      <w:proofErr w:type="gramEnd"/>
      <w:r>
        <w:t xml:space="preserve"> 1 ml na 30 kg ž. hm</w:t>
      </w:r>
      <w:r w:rsidR="006A027E" w:rsidRPr="006A027E">
        <w:t>.) jednou denně hluboko intramuskulárně</w:t>
      </w:r>
      <w:r w:rsidR="00655382">
        <w:t>.</w:t>
      </w:r>
    </w:p>
    <w:p w:rsidR="00655382" w:rsidRDefault="00655382">
      <w:pPr>
        <w:pStyle w:val="Zkladntext"/>
      </w:pPr>
    </w:p>
    <w:p w:rsidR="00655382" w:rsidRDefault="00655382">
      <w:pPr>
        <w:pStyle w:val="Zkladntext"/>
      </w:pPr>
      <w:r w:rsidRPr="00655382">
        <w:t>Vhodnou dobu léčby je třeba zvolit na základě klinických požadavků a individuálního vývoje zdravotního stavu léčeného zvířete. Je třeba vzít v úvahu dostupnost léčiva v cílové tkáni a vlastnosti cílového patogenu.</w:t>
      </w:r>
    </w:p>
    <w:p w:rsidR="00C01DBD" w:rsidRDefault="00C01DBD">
      <w:pPr>
        <w:rPr>
          <w:b w:val="0"/>
          <w:bCs/>
        </w:rPr>
      </w:pPr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9.</w:t>
      </w:r>
      <w:r>
        <w:rPr>
          <w:bCs/>
        </w:rPr>
        <w:tab/>
        <w:t>POKYNY PRO SPRÁVNÉ PODÁNÍ</w:t>
      </w:r>
    </w:p>
    <w:p w:rsidR="00DE67A4" w:rsidRDefault="00DE67A4">
      <w:pPr>
        <w:rPr>
          <w:bCs/>
        </w:rPr>
      </w:pPr>
    </w:p>
    <w:p w:rsidR="00DE67A4" w:rsidRDefault="00DE67A4">
      <w:pPr>
        <w:pStyle w:val="Zkladntext"/>
      </w:pPr>
      <w:r>
        <w:t>Před použitím protřepat.</w:t>
      </w:r>
    </w:p>
    <w:p w:rsidR="00DE67A4" w:rsidRDefault="006A027E">
      <w:pPr>
        <w:rPr>
          <w:bCs/>
        </w:rPr>
      </w:pPr>
      <w:r w:rsidRPr="00554354">
        <w:rPr>
          <w:b w:val="0"/>
          <w:bCs/>
        </w:rPr>
        <w:t>Pro zajištění podání správné dávky by měla být co nejpřesněji stanovena živá hmotnost</w:t>
      </w:r>
      <w:r>
        <w:rPr>
          <w:b w:val="0"/>
          <w:bCs/>
        </w:rPr>
        <w:t>.</w:t>
      </w:r>
    </w:p>
    <w:p w:rsidR="00C01DBD" w:rsidRDefault="00C01DBD">
      <w:pPr>
        <w:rPr>
          <w:bCs/>
        </w:rPr>
      </w:pPr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10.</w:t>
      </w:r>
      <w:r>
        <w:rPr>
          <w:bCs/>
        </w:rPr>
        <w:tab/>
        <w:t>OCHRANNÁ</w:t>
      </w:r>
      <w:r w:rsidR="00A2451B">
        <w:rPr>
          <w:bCs/>
        </w:rPr>
        <w:t>(É)</w:t>
      </w:r>
      <w:r>
        <w:rPr>
          <w:bCs/>
        </w:rPr>
        <w:t xml:space="preserve"> LHŮTA</w:t>
      </w:r>
      <w:r w:rsidR="00A2451B">
        <w:rPr>
          <w:bCs/>
        </w:rPr>
        <w:t>(Y)</w:t>
      </w:r>
      <w:r>
        <w:rPr>
          <w:bCs/>
        </w:rPr>
        <w:t xml:space="preserve"> </w:t>
      </w:r>
    </w:p>
    <w:p w:rsidR="00DE67A4" w:rsidRDefault="00DE67A4">
      <w:pPr>
        <w:rPr>
          <w:bCs/>
        </w:rPr>
      </w:pPr>
    </w:p>
    <w:p w:rsidR="00F2498C" w:rsidRDefault="00A2451B" w:rsidP="00F2498C">
      <w:pPr>
        <w:pStyle w:val="Zkladntext"/>
      </w:pPr>
      <w:bookmarkStart w:id="0" w:name="_Hlk165019049"/>
      <w:r>
        <w:t>Skot</w:t>
      </w:r>
      <w:r w:rsidR="00F2498C">
        <w:t>, ovce, prasata:</w:t>
      </w:r>
    </w:p>
    <w:p w:rsidR="00F2498C" w:rsidRDefault="00F2498C" w:rsidP="00F2498C">
      <w:pPr>
        <w:pStyle w:val="Zkladntext"/>
      </w:pPr>
      <w:r>
        <w:t>Maso: 5 dní při době trvání léčby 3-5 dní,</w:t>
      </w:r>
    </w:p>
    <w:p w:rsidR="00F2498C" w:rsidRDefault="00F2498C" w:rsidP="00F2498C">
      <w:pPr>
        <w:pStyle w:val="Zkladntext"/>
      </w:pPr>
      <w:r>
        <w:t xml:space="preserve">           7 dní při době trvání léčby 6-7 dní</w:t>
      </w:r>
      <w:r w:rsidR="006A7F10">
        <w:t>.</w:t>
      </w:r>
    </w:p>
    <w:bookmarkEnd w:id="0"/>
    <w:p w:rsidR="00DE67A4" w:rsidRDefault="00A2451B" w:rsidP="00F2498C">
      <w:pPr>
        <w:pStyle w:val="Zkladntext"/>
      </w:pPr>
      <w:r>
        <w:t xml:space="preserve"> </w:t>
      </w:r>
    </w:p>
    <w:p w:rsidR="00DE67A4" w:rsidRDefault="00A2451B">
      <w:pPr>
        <w:pStyle w:val="Zkladntext"/>
      </w:pPr>
      <w:bookmarkStart w:id="1" w:name="_Hlk165019078"/>
      <w:r>
        <w:t>Skot: mléko: 96 hodin</w:t>
      </w:r>
      <w:r w:rsidR="007E5A9A">
        <w:t>.</w:t>
      </w:r>
      <w:r w:rsidR="00DE67A4">
        <w:t xml:space="preserve"> </w:t>
      </w:r>
    </w:p>
    <w:p w:rsidR="00DE67A4" w:rsidRDefault="00DE67A4">
      <w:pPr>
        <w:pStyle w:val="Zkladntext"/>
      </w:pPr>
      <w:r>
        <w:t>Nepoužívat u ovcí, jejichž mléko je určeno pro lidsk</w:t>
      </w:r>
      <w:r w:rsidR="00A2451B">
        <w:t>ou spotřebu.</w:t>
      </w:r>
    </w:p>
    <w:p w:rsidR="00DE67A4" w:rsidRDefault="00DE67A4">
      <w:pPr>
        <w:rPr>
          <w:bCs/>
        </w:rPr>
      </w:pPr>
    </w:p>
    <w:bookmarkEnd w:id="1"/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11.</w:t>
      </w:r>
      <w:r>
        <w:rPr>
          <w:bCs/>
        </w:rPr>
        <w:tab/>
        <w:t>ZVLÁŠTNÍ OPATŘENÍ PRO UCHOVÁVÁNÍ</w:t>
      </w:r>
    </w:p>
    <w:p w:rsidR="00DE67A4" w:rsidRDefault="00DE67A4">
      <w:pPr>
        <w:rPr>
          <w:bCs/>
        </w:rPr>
      </w:pPr>
    </w:p>
    <w:p w:rsidR="00DE67A4" w:rsidRDefault="00DE67A4">
      <w:pPr>
        <w:pStyle w:val="Zkladntext2"/>
      </w:pPr>
      <w:r>
        <w:t>Uchovávejte mimo do</w:t>
      </w:r>
      <w:r w:rsidR="003A1A3B">
        <w:t>hled a do</w:t>
      </w:r>
      <w:r>
        <w:t>sah dětí</w:t>
      </w:r>
    </w:p>
    <w:p w:rsidR="00DE67A4" w:rsidRDefault="00DE67A4">
      <w:pPr>
        <w:pStyle w:val="Zkladntext2"/>
      </w:pPr>
    </w:p>
    <w:p w:rsidR="00DE67A4" w:rsidRDefault="00DE67A4">
      <w:pPr>
        <w:pStyle w:val="Zkladntext2"/>
      </w:pPr>
      <w:r>
        <w:t xml:space="preserve">Uchovávejte </w:t>
      </w:r>
      <w:r w:rsidR="00710CAE" w:rsidRPr="00710CAE">
        <w:t>v chladničce (2 °</w:t>
      </w:r>
      <w:proofErr w:type="gramStart"/>
      <w:r w:rsidR="00710CAE" w:rsidRPr="00710CAE">
        <w:t>C – 8</w:t>
      </w:r>
      <w:proofErr w:type="gramEnd"/>
      <w:r w:rsidR="00710CAE" w:rsidRPr="00710CAE">
        <w:t xml:space="preserve"> °C).</w:t>
      </w:r>
    </w:p>
    <w:p w:rsidR="00DE67A4" w:rsidRDefault="00DE67A4">
      <w:pPr>
        <w:pStyle w:val="Zkladntext2"/>
      </w:pPr>
      <w:r>
        <w:t>Uchovávejte lahvičku v krabičce, aby byla chráněna před světlem.</w:t>
      </w:r>
    </w:p>
    <w:p w:rsidR="00DE67A4" w:rsidRDefault="00DE67A4">
      <w:pPr>
        <w:pStyle w:val="Zkladntext"/>
      </w:pPr>
    </w:p>
    <w:p w:rsidR="00DE67A4" w:rsidRDefault="00DE67A4">
      <w:pPr>
        <w:pStyle w:val="Zkladntext"/>
      </w:pPr>
      <w:r>
        <w:t>Nepoužívejte</w:t>
      </w:r>
      <w:r w:rsidR="00047C55">
        <w:t xml:space="preserve"> tento veterinární léčivý přípravek</w:t>
      </w:r>
      <w:r>
        <w:t xml:space="preserve"> po uplynutí doby použitelnosti uvedené na </w:t>
      </w:r>
      <w:r w:rsidR="00BA647B">
        <w:t>etiketě</w:t>
      </w:r>
      <w:r w:rsidR="00BA647B" w:rsidDel="00710CAE">
        <w:t xml:space="preserve"> </w:t>
      </w:r>
      <w:r w:rsidR="00BA647B">
        <w:t xml:space="preserve">a </w:t>
      </w:r>
      <w:r w:rsidR="00710CAE">
        <w:t>krabičce po EXP</w:t>
      </w:r>
      <w:r>
        <w:t>.</w:t>
      </w:r>
      <w:r w:rsidR="00BA647B">
        <w:t xml:space="preserve"> Doba použitelnosti končí posledním dnem v uvedeném měsíci.</w:t>
      </w:r>
    </w:p>
    <w:p w:rsidR="00DE67A4" w:rsidRDefault="00DE67A4">
      <w:pPr>
        <w:rPr>
          <w:b w:val="0"/>
        </w:rPr>
      </w:pPr>
      <w:r>
        <w:rPr>
          <w:b w:val="0"/>
        </w:rPr>
        <w:t>Doba použitelnosti po prvním otevření vnitřního obalu: 28 dní</w:t>
      </w:r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12.</w:t>
      </w:r>
      <w:r>
        <w:rPr>
          <w:bCs/>
        </w:rPr>
        <w:tab/>
        <w:t>ZVLÁŠTNÍ UPOZORNĚNÍ</w:t>
      </w:r>
    </w:p>
    <w:p w:rsidR="00FE5FCA" w:rsidRDefault="00FE5FCA">
      <w:pPr>
        <w:rPr>
          <w:bCs/>
        </w:rPr>
      </w:pPr>
    </w:p>
    <w:p w:rsidR="00FE5FCA" w:rsidRPr="004139BB" w:rsidRDefault="00FE5FCA">
      <w:pPr>
        <w:rPr>
          <w:b w:val="0"/>
          <w:szCs w:val="22"/>
          <w:u w:val="single"/>
        </w:rPr>
      </w:pPr>
      <w:r w:rsidRPr="004139BB">
        <w:rPr>
          <w:b w:val="0"/>
          <w:szCs w:val="22"/>
          <w:u w:val="single"/>
        </w:rPr>
        <w:t>Zvláštní opatření pro použití u zvířat:</w:t>
      </w:r>
    </w:p>
    <w:p w:rsidR="00414D2C" w:rsidRPr="004139BB" w:rsidRDefault="00414D2C" w:rsidP="00414D2C">
      <w:pPr>
        <w:pStyle w:val="Zkladntext"/>
        <w:jc w:val="both"/>
        <w:rPr>
          <w:szCs w:val="22"/>
        </w:rPr>
      </w:pPr>
      <w:r w:rsidRPr="004139BB">
        <w:rPr>
          <w:szCs w:val="22"/>
        </w:rPr>
        <w:t>Při použití přípravku je nutno vzít v úvahu oficiální a místní pravidla antibiotické politiky.</w:t>
      </w:r>
    </w:p>
    <w:p w:rsidR="00414D2C" w:rsidRPr="004139BB" w:rsidRDefault="00414D2C" w:rsidP="00414D2C">
      <w:pPr>
        <w:pStyle w:val="Zkladntext"/>
        <w:jc w:val="both"/>
        <w:rPr>
          <w:szCs w:val="22"/>
        </w:rPr>
      </w:pPr>
      <w:r w:rsidRPr="004139BB">
        <w:rPr>
          <w:szCs w:val="22"/>
        </w:rPr>
        <w:t xml:space="preserve">Použití přípravku by mělo být založeno na kultivaci a stanovení citlivosti mikroorganizmů pocházejících z výskytů případů onemocnění na farmě. Pokud to není možné, je nutné založit terapii na místních (regionální, na úrovni farmy) </w:t>
      </w:r>
      <w:proofErr w:type="spellStart"/>
      <w:r w:rsidRPr="004139BB">
        <w:rPr>
          <w:szCs w:val="22"/>
        </w:rPr>
        <w:t>epizootologických</w:t>
      </w:r>
      <w:proofErr w:type="spellEnd"/>
      <w:r w:rsidRPr="004139BB">
        <w:rPr>
          <w:szCs w:val="22"/>
        </w:rPr>
        <w:t xml:space="preserve"> informacích o citlivosti cílové bakterie.</w:t>
      </w:r>
    </w:p>
    <w:p w:rsidR="00414D2C" w:rsidRDefault="00414D2C" w:rsidP="00414D2C">
      <w:pPr>
        <w:rPr>
          <w:b w:val="0"/>
          <w:szCs w:val="22"/>
        </w:rPr>
      </w:pPr>
      <w:r w:rsidRPr="004139BB">
        <w:rPr>
          <w:b w:val="0"/>
          <w:szCs w:val="22"/>
        </w:rPr>
        <w:t xml:space="preserve">Použití přípravku, které je odlišné od pokynů uvedených v této příbalové informaci, může zvýšit prevalenci bakterií rezistentních k prokain </w:t>
      </w:r>
      <w:proofErr w:type="spellStart"/>
      <w:r w:rsidRPr="004139BB">
        <w:rPr>
          <w:b w:val="0"/>
          <w:szCs w:val="22"/>
        </w:rPr>
        <w:t>benzylpenicilinu</w:t>
      </w:r>
      <w:proofErr w:type="spellEnd"/>
      <w:r w:rsidRPr="004139BB">
        <w:rPr>
          <w:b w:val="0"/>
          <w:szCs w:val="22"/>
        </w:rPr>
        <w:t xml:space="preserve"> a snížit účinnost terapie ostatními beta-laktamy z důvodu možné zkřížené rezistence.</w:t>
      </w:r>
    </w:p>
    <w:p w:rsidR="00E43D73" w:rsidRDefault="00E43D73" w:rsidP="00414D2C">
      <w:pPr>
        <w:rPr>
          <w:b w:val="0"/>
          <w:szCs w:val="22"/>
          <w:u w:val="single"/>
        </w:rPr>
      </w:pPr>
    </w:p>
    <w:p w:rsidR="000E29BF" w:rsidRPr="00956D21" w:rsidRDefault="000E29BF" w:rsidP="000E29BF">
      <w:pPr>
        <w:rPr>
          <w:b w:val="0"/>
          <w:bCs/>
          <w:szCs w:val="22"/>
        </w:rPr>
      </w:pPr>
      <w:r w:rsidRPr="00956D21">
        <w:rPr>
          <w:b w:val="0"/>
          <w:bCs/>
          <w:szCs w:val="22"/>
        </w:rPr>
        <w:t xml:space="preserve">Po absorpci proniká </w:t>
      </w:r>
      <w:proofErr w:type="spellStart"/>
      <w:r w:rsidRPr="00956D21">
        <w:rPr>
          <w:b w:val="0"/>
          <w:bCs/>
          <w:szCs w:val="22"/>
        </w:rPr>
        <w:t>benzylpenicilin</w:t>
      </w:r>
      <w:proofErr w:type="spellEnd"/>
      <w:r w:rsidRPr="00956D21">
        <w:rPr>
          <w:b w:val="0"/>
          <w:bCs/>
          <w:szCs w:val="22"/>
        </w:rPr>
        <w:t xml:space="preserve"> biologickými membránami (např. hematoencefalickou bariérou) obtížně, protože je ionizovaný a omezeně rozpustný v lipidech. Použití přípravku k léčbě meningitidy nebo infekcí CNS vyvolaných např. bakteriemi </w:t>
      </w:r>
      <w:proofErr w:type="spellStart"/>
      <w:r w:rsidRPr="00956D21">
        <w:rPr>
          <w:b w:val="0"/>
          <w:bCs/>
          <w:i/>
          <w:iCs/>
          <w:szCs w:val="22"/>
        </w:rPr>
        <w:t>Streptococcus</w:t>
      </w:r>
      <w:proofErr w:type="spellEnd"/>
      <w:r w:rsidRPr="00956D21">
        <w:rPr>
          <w:b w:val="0"/>
          <w:bCs/>
          <w:i/>
          <w:iCs/>
          <w:szCs w:val="22"/>
        </w:rPr>
        <w:t xml:space="preserve"> </w:t>
      </w:r>
      <w:proofErr w:type="spellStart"/>
      <w:r w:rsidRPr="00956D21">
        <w:rPr>
          <w:b w:val="0"/>
          <w:bCs/>
          <w:i/>
          <w:iCs/>
          <w:szCs w:val="22"/>
        </w:rPr>
        <w:t>suis</w:t>
      </w:r>
      <w:proofErr w:type="spellEnd"/>
      <w:r w:rsidRPr="00956D21">
        <w:rPr>
          <w:b w:val="0"/>
          <w:bCs/>
          <w:i/>
          <w:iCs/>
          <w:szCs w:val="22"/>
        </w:rPr>
        <w:t xml:space="preserve"> </w:t>
      </w:r>
      <w:r w:rsidRPr="00956D21">
        <w:rPr>
          <w:b w:val="0"/>
          <w:bCs/>
          <w:szCs w:val="22"/>
        </w:rPr>
        <w:t xml:space="preserve">nebo </w:t>
      </w:r>
      <w:proofErr w:type="spellStart"/>
      <w:r w:rsidRPr="00956D21">
        <w:rPr>
          <w:b w:val="0"/>
          <w:bCs/>
          <w:i/>
          <w:iCs/>
          <w:szCs w:val="22"/>
        </w:rPr>
        <w:t>Listeria</w:t>
      </w:r>
      <w:proofErr w:type="spellEnd"/>
      <w:r w:rsidRPr="00956D21">
        <w:rPr>
          <w:b w:val="0"/>
          <w:bCs/>
          <w:i/>
          <w:iCs/>
          <w:szCs w:val="22"/>
        </w:rPr>
        <w:t xml:space="preserve"> </w:t>
      </w:r>
      <w:proofErr w:type="spellStart"/>
      <w:r w:rsidRPr="00956D21">
        <w:rPr>
          <w:b w:val="0"/>
          <w:bCs/>
          <w:i/>
          <w:iCs/>
          <w:szCs w:val="22"/>
        </w:rPr>
        <w:t>monocytogenes</w:t>
      </w:r>
      <w:proofErr w:type="spellEnd"/>
      <w:r w:rsidRPr="00956D21">
        <w:rPr>
          <w:b w:val="0"/>
          <w:bCs/>
          <w:i/>
          <w:iCs/>
          <w:szCs w:val="22"/>
        </w:rPr>
        <w:t xml:space="preserve"> </w:t>
      </w:r>
      <w:r w:rsidRPr="00956D21">
        <w:rPr>
          <w:b w:val="0"/>
          <w:bCs/>
          <w:szCs w:val="22"/>
        </w:rPr>
        <w:t xml:space="preserve">nemusí být účinné. </w:t>
      </w:r>
      <w:proofErr w:type="spellStart"/>
      <w:r w:rsidRPr="00956D21">
        <w:rPr>
          <w:b w:val="0"/>
          <w:bCs/>
          <w:szCs w:val="22"/>
        </w:rPr>
        <w:t>Benzylpenicilin</w:t>
      </w:r>
      <w:proofErr w:type="spellEnd"/>
      <w:r w:rsidRPr="00956D21">
        <w:rPr>
          <w:b w:val="0"/>
          <w:bCs/>
          <w:szCs w:val="22"/>
        </w:rPr>
        <w:t xml:space="preserve"> také obtížně proniká do savčích buněk, a proto může být tento přípravek nedostatečně účinný při v léčbě onemocnění vyvolaných intracelulárními patogeny, jako je např. </w:t>
      </w:r>
      <w:proofErr w:type="spellStart"/>
      <w:r w:rsidRPr="00956D21">
        <w:rPr>
          <w:b w:val="0"/>
          <w:bCs/>
          <w:i/>
          <w:iCs/>
          <w:szCs w:val="22"/>
        </w:rPr>
        <w:t>Listeria</w:t>
      </w:r>
      <w:proofErr w:type="spellEnd"/>
      <w:r w:rsidRPr="00956D21">
        <w:rPr>
          <w:b w:val="0"/>
          <w:bCs/>
          <w:i/>
          <w:iCs/>
          <w:szCs w:val="22"/>
        </w:rPr>
        <w:t xml:space="preserve"> </w:t>
      </w:r>
      <w:proofErr w:type="spellStart"/>
      <w:r w:rsidRPr="00956D21">
        <w:rPr>
          <w:b w:val="0"/>
          <w:bCs/>
          <w:i/>
          <w:iCs/>
          <w:szCs w:val="22"/>
        </w:rPr>
        <w:t>monocytogenes</w:t>
      </w:r>
      <w:proofErr w:type="spellEnd"/>
      <w:r w:rsidRPr="00956D21">
        <w:rPr>
          <w:b w:val="0"/>
          <w:bCs/>
          <w:szCs w:val="22"/>
        </w:rPr>
        <w:t>.</w:t>
      </w:r>
    </w:p>
    <w:p w:rsidR="000E29BF" w:rsidRPr="001642EE" w:rsidRDefault="000E29BF" w:rsidP="000E29BF">
      <w:pPr>
        <w:rPr>
          <w:bCs/>
          <w:szCs w:val="22"/>
        </w:rPr>
      </w:pPr>
    </w:p>
    <w:p w:rsidR="000E29BF" w:rsidRPr="00956D21" w:rsidRDefault="000E29BF" w:rsidP="000E29B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56D21">
        <w:rPr>
          <w:rFonts w:ascii="Times New Roman" w:hAnsi="Times New Roman" w:cs="Times New Roman"/>
          <w:sz w:val="22"/>
          <w:szCs w:val="22"/>
        </w:rPr>
        <w:t xml:space="preserve">U následujících bakterií byly hlášeny zvýšené hodnoty MIC nebo bimodální distribuční profily, poukazující na získanou rezistenci: </w:t>
      </w:r>
    </w:p>
    <w:p w:rsidR="000E29BF" w:rsidRPr="00956D21" w:rsidRDefault="000E29BF" w:rsidP="000E29BF">
      <w:pPr>
        <w:pStyle w:val="Default"/>
        <w:numPr>
          <w:ilvl w:val="0"/>
          <w:numId w:val="27"/>
        </w:numPr>
        <w:spacing w:after="4"/>
        <w:rPr>
          <w:rFonts w:ascii="Times New Roman" w:hAnsi="Times New Roman" w:cs="Times New Roman"/>
          <w:sz w:val="22"/>
          <w:szCs w:val="22"/>
        </w:rPr>
      </w:pPr>
      <w:proofErr w:type="spellStart"/>
      <w:r w:rsidRPr="00956D21">
        <w:rPr>
          <w:rFonts w:ascii="Times New Roman" w:hAnsi="Times New Roman" w:cs="Times New Roman"/>
          <w:i/>
          <w:iCs/>
          <w:sz w:val="22"/>
          <w:szCs w:val="22"/>
        </w:rPr>
        <w:t>Glaesserella</w:t>
      </w:r>
      <w:proofErr w:type="spellEnd"/>
      <w:r w:rsidRPr="00956D2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56D21">
        <w:rPr>
          <w:rFonts w:ascii="Times New Roman" w:hAnsi="Times New Roman" w:cs="Times New Roman"/>
          <w:i/>
          <w:iCs/>
          <w:sz w:val="22"/>
          <w:szCs w:val="22"/>
        </w:rPr>
        <w:t>parasuis</w:t>
      </w:r>
      <w:proofErr w:type="spellEnd"/>
      <w:r w:rsidRPr="00956D2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56D21">
        <w:rPr>
          <w:rFonts w:ascii="Times New Roman" w:hAnsi="Times New Roman" w:cs="Times New Roman"/>
          <w:i/>
          <w:iCs/>
          <w:sz w:val="22"/>
          <w:szCs w:val="22"/>
        </w:rPr>
        <w:t>Staphylococcus</w:t>
      </w:r>
      <w:proofErr w:type="spellEnd"/>
      <w:r w:rsidRPr="00956D2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56D21">
        <w:rPr>
          <w:rFonts w:ascii="Times New Roman" w:hAnsi="Times New Roman" w:cs="Times New Roman"/>
          <w:sz w:val="22"/>
          <w:szCs w:val="22"/>
        </w:rPr>
        <w:t>spp</w:t>
      </w:r>
      <w:proofErr w:type="spellEnd"/>
      <w:r w:rsidRPr="00956D21">
        <w:rPr>
          <w:rFonts w:ascii="Times New Roman" w:hAnsi="Times New Roman" w:cs="Times New Roman"/>
          <w:sz w:val="22"/>
          <w:szCs w:val="22"/>
        </w:rPr>
        <w:t xml:space="preserve">. vyvolávající MMA/PPDS, </w:t>
      </w:r>
      <w:proofErr w:type="spellStart"/>
      <w:r w:rsidRPr="00956D21">
        <w:rPr>
          <w:rFonts w:ascii="Times New Roman" w:hAnsi="Times New Roman" w:cs="Times New Roman"/>
          <w:i/>
          <w:iCs/>
          <w:sz w:val="22"/>
          <w:szCs w:val="22"/>
        </w:rPr>
        <w:t>Streptococcus</w:t>
      </w:r>
      <w:proofErr w:type="spellEnd"/>
      <w:r w:rsidRPr="00956D2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56D21">
        <w:rPr>
          <w:rFonts w:ascii="Times New Roman" w:hAnsi="Times New Roman" w:cs="Times New Roman"/>
          <w:sz w:val="22"/>
          <w:szCs w:val="22"/>
        </w:rPr>
        <w:t>spp</w:t>
      </w:r>
      <w:proofErr w:type="spellEnd"/>
      <w:r w:rsidRPr="00956D21">
        <w:rPr>
          <w:rFonts w:ascii="Times New Roman" w:hAnsi="Times New Roman" w:cs="Times New Roman"/>
          <w:sz w:val="22"/>
          <w:szCs w:val="22"/>
        </w:rPr>
        <w:t xml:space="preserve">. a </w:t>
      </w:r>
      <w:r w:rsidRPr="00956D21">
        <w:rPr>
          <w:rFonts w:ascii="Times New Roman" w:hAnsi="Times New Roman" w:cs="Times New Roman"/>
          <w:i/>
          <w:iCs/>
          <w:sz w:val="22"/>
          <w:szCs w:val="22"/>
        </w:rPr>
        <w:t xml:space="preserve">S. </w:t>
      </w:r>
      <w:proofErr w:type="spellStart"/>
      <w:r w:rsidRPr="00956D21">
        <w:rPr>
          <w:rFonts w:ascii="Times New Roman" w:hAnsi="Times New Roman" w:cs="Times New Roman"/>
          <w:i/>
          <w:iCs/>
          <w:sz w:val="22"/>
          <w:szCs w:val="22"/>
        </w:rPr>
        <w:t>suis</w:t>
      </w:r>
      <w:proofErr w:type="spellEnd"/>
      <w:r w:rsidRPr="00956D2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56D21">
        <w:rPr>
          <w:rFonts w:ascii="Times New Roman" w:hAnsi="Times New Roman" w:cs="Times New Roman"/>
          <w:sz w:val="22"/>
          <w:szCs w:val="22"/>
        </w:rPr>
        <w:t xml:space="preserve">u prasat; </w:t>
      </w:r>
    </w:p>
    <w:p w:rsidR="000E29BF" w:rsidRPr="00956D21" w:rsidRDefault="000E29BF" w:rsidP="000E29BF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956D21">
        <w:rPr>
          <w:rFonts w:ascii="Times New Roman" w:hAnsi="Times New Roman" w:cs="Times New Roman"/>
          <w:i/>
          <w:iCs/>
          <w:sz w:val="22"/>
          <w:szCs w:val="22"/>
        </w:rPr>
        <w:t>Fusobacterium</w:t>
      </w:r>
      <w:proofErr w:type="spellEnd"/>
      <w:r w:rsidRPr="00956D2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56D21">
        <w:rPr>
          <w:rFonts w:ascii="Times New Roman" w:hAnsi="Times New Roman" w:cs="Times New Roman"/>
          <w:i/>
          <w:iCs/>
          <w:sz w:val="22"/>
          <w:szCs w:val="22"/>
        </w:rPr>
        <w:t>necrophorum</w:t>
      </w:r>
      <w:proofErr w:type="spellEnd"/>
      <w:r w:rsidRPr="00956D2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56D21">
        <w:rPr>
          <w:rFonts w:ascii="Times New Roman" w:hAnsi="Times New Roman" w:cs="Times New Roman"/>
          <w:sz w:val="22"/>
          <w:szCs w:val="22"/>
        </w:rPr>
        <w:t xml:space="preserve">vyvolávající metritidu a </w:t>
      </w:r>
      <w:proofErr w:type="spellStart"/>
      <w:r w:rsidRPr="00956D21">
        <w:rPr>
          <w:rFonts w:ascii="Times New Roman" w:hAnsi="Times New Roman" w:cs="Times New Roman"/>
          <w:i/>
          <w:iCs/>
          <w:sz w:val="22"/>
          <w:szCs w:val="22"/>
        </w:rPr>
        <w:t>Mannheimia</w:t>
      </w:r>
      <w:proofErr w:type="spellEnd"/>
      <w:r w:rsidRPr="00956D2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56D21">
        <w:rPr>
          <w:rFonts w:ascii="Times New Roman" w:hAnsi="Times New Roman" w:cs="Times New Roman"/>
          <w:i/>
          <w:iCs/>
          <w:sz w:val="22"/>
          <w:szCs w:val="22"/>
        </w:rPr>
        <w:t>haemolytica</w:t>
      </w:r>
      <w:proofErr w:type="spellEnd"/>
      <w:r w:rsidRPr="00956D2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56D21">
        <w:rPr>
          <w:rFonts w:ascii="Times New Roman" w:hAnsi="Times New Roman" w:cs="Times New Roman"/>
          <w:sz w:val="22"/>
          <w:szCs w:val="22"/>
        </w:rPr>
        <w:t xml:space="preserve">(pouze v některých členských státech) a dále </w:t>
      </w:r>
      <w:proofErr w:type="spellStart"/>
      <w:r w:rsidRPr="00956D21">
        <w:rPr>
          <w:rFonts w:ascii="Times New Roman" w:hAnsi="Times New Roman" w:cs="Times New Roman"/>
          <w:i/>
          <w:iCs/>
          <w:sz w:val="22"/>
          <w:szCs w:val="22"/>
        </w:rPr>
        <w:t>Bacteroides</w:t>
      </w:r>
      <w:proofErr w:type="spellEnd"/>
      <w:r w:rsidRPr="00956D2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56D21">
        <w:rPr>
          <w:rFonts w:ascii="Times New Roman" w:hAnsi="Times New Roman" w:cs="Times New Roman"/>
          <w:sz w:val="22"/>
          <w:szCs w:val="22"/>
        </w:rPr>
        <w:t>spp</w:t>
      </w:r>
      <w:proofErr w:type="spellEnd"/>
      <w:r w:rsidRPr="00956D21">
        <w:rPr>
          <w:rFonts w:ascii="Times New Roman" w:hAnsi="Times New Roman" w:cs="Times New Roman"/>
          <w:sz w:val="22"/>
          <w:szCs w:val="22"/>
        </w:rPr>
        <w:t xml:space="preserve">., </w:t>
      </w:r>
      <w:proofErr w:type="spellStart"/>
      <w:r w:rsidRPr="00956D21">
        <w:rPr>
          <w:rFonts w:ascii="Times New Roman" w:hAnsi="Times New Roman" w:cs="Times New Roman"/>
          <w:i/>
          <w:iCs/>
          <w:sz w:val="22"/>
          <w:szCs w:val="22"/>
        </w:rPr>
        <w:t>Staphylococcus</w:t>
      </w:r>
      <w:proofErr w:type="spellEnd"/>
      <w:r w:rsidRPr="00956D2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56D21">
        <w:rPr>
          <w:rFonts w:ascii="Times New Roman" w:hAnsi="Times New Roman" w:cs="Times New Roman"/>
          <w:i/>
          <w:iCs/>
          <w:sz w:val="22"/>
          <w:szCs w:val="22"/>
        </w:rPr>
        <w:t>chromogenes</w:t>
      </w:r>
      <w:proofErr w:type="spellEnd"/>
      <w:r w:rsidRPr="00956D2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56D21">
        <w:rPr>
          <w:rFonts w:ascii="Times New Roman" w:hAnsi="Times New Roman" w:cs="Times New Roman"/>
          <w:i/>
          <w:iCs/>
          <w:sz w:val="22"/>
          <w:szCs w:val="22"/>
        </w:rPr>
        <w:t>Actinobacillus</w:t>
      </w:r>
      <w:proofErr w:type="spellEnd"/>
      <w:r w:rsidRPr="00956D2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56D21">
        <w:rPr>
          <w:rFonts w:ascii="Times New Roman" w:hAnsi="Times New Roman" w:cs="Times New Roman"/>
          <w:i/>
          <w:iCs/>
          <w:sz w:val="22"/>
          <w:szCs w:val="22"/>
        </w:rPr>
        <w:t>lignieresii</w:t>
      </w:r>
      <w:proofErr w:type="spellEnd"/>
      <w:r w:rsidRPr="00956D2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56D21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Pr="00956D21">
        <w:rPr>
          <w:rFonts w:ascii="Times New Roman" w:hAnsi="Times New Roman" w:cs="Times New Roman"/>
          <w:i/>
          <w:iCs/>
          <w:sz w:val="22"/>
          <w:szCs w:val="22"/>
        </w:rPr>
        <w:t>Trueperella</w:t>
      </w:r>
      <w:proofErr w:type="spellEnd"/>
      <w:r w:rsidRPr="00956D2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56D21">
        <w:rPr>
          <w:rFonts w:ascii="Times New Roman" w:hAnsi="Times New Roman" w:cs="Times New Roman"/>
          <w:i/>
          <w:iCs/>
          <w:sz w:val="22"/>
          <w:szCs w:val="22"/>
        </w:rPr>
        <w:t>pyogenes</w:t>
      </w:r>
      <w:proofErr w:type="spellEnd"/>
      <w:r w:rsidRPr="00956D2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56D21">
        <w:rPr>
          <w:rFonts w:ascii="Times New Roman" w:hAnsi="Times New Roman" w:cs="Times New Roman"/>
          <w:sz w:val="22"/>
          <w:szCs w:val="22"/>
        </w:rPr>
        <w:t>u skotu</w:t>
      </w:r>
    </w:p>
    <w:p w:rsidR="000E29BF" w:rsidRPr="00956D21" w:rsidRDefault="000E29BF" w:rsidP="000E29B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E29BF" w:rsidRPr="00956D21" w:rsidRDefault="000E29BF" w:rsidP="000E29B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56D21">
        <w:rPr>
          <w:rFonts w:ascii="Times New Roman" w:hAnsi="Times New Roman" w:cs="Times New Roman"/>
          <w:sz w:val="22"/>
          <w:szCs w:val="22"/>
        </w:rPr>
        <w:t>Při léčbě infekcí vyvolaných těmito bakteriemi může být použití tohoto veterinárního léčivého přípravku nedostatečně klinicky účinné.</w:t>
      </w:r>
    </w:p>
    <w:p w:rsidR="00E43D73" w:rsidRPr="004139BB" w:rsidRDefault="00E43D73" w:rsidP="00414D2C">
      <w:pPr>
        <w:rPr>
          <w:b w:val="0"/>
          <w:szCs w:val="22"/>
          <w:u w:val="single"/>
        </w:rPr>
      </w:pPr>
    </w:p>
    <w:p w:rsidR="00FE5FCA" w:rsidRPr="004139BB" w:rsidRDefault="00FE5FCA">
      <w:pPr>
        <w:rPr>
          <w:bCs/>
          <w:szCs w:val="22"/>
        </w:rPr>
      </w:pPr>
    </w:p>
    <w:p w:rsidR="00FE5FCA" w:rsidRPr="004139BB" w:rsidRDefault="00FE5FCA" w:rsidP="005E1026">
      <w:pPr>
        <w:keepNext/>
        <w:rPr>
          <w:bCs/>
          <w:szCs w:val="22"/>
        </w:rPr>
      </w:pPr>
      <w:r w:rsidRPr="004139BB">
        <w:rPr>
          <w:b w:val="0"/>
          <w:szCs w:val="22"/>
          <w:u w:val="single"/>
        </w:rPr>
        <w:t>Zvláštní opatření určené osobám, které podávají veterinární léčivý přípravek zvířatům</w:t>
      </w:r>
      <w:r w:rsidRPr="004139BB">
        <w:rPr>
          <w:b w:val="0"/>
          <w:szCs w:val="22"/>
        </w:rPr>
        <w:t>:</w:t>
      </w:r>
    </w:p>
    <w:p w:rsidR="003A1A3B" w:rsidRPr="004139BB" w:rsidRDefault="003A1A3B" w:rsidP="003A1A3B">
      <w:pPr>
        <w:ind w:right="282"/>
        <w:jc w:val="both"/>
        <w:rPr>
          <w:b w:val="0"/>
          <w:szCs w:val="22"/>
        </w:rPr>
      </w:pPr>
      <w:r w:rsidRPr="004139BB">
        <w:rPr>
          <w:b w:val="0"/>
          <w:szCs w:val="22"/>
          <w:lang w:eastAsia="en-US"/>
        </w:rPr>
        <w:t>Peniciliny a cefalosporiny mohou po injekci, inhalaci, požití nebo kontaktu s kůží vyvolat přecitlivělost (alergii). Přecitlivělost na peniciliny může vést ke zkříženým reakcím s cefalosporiny a naopak. Alergické reakce na tyto látky mohou být v některých případech vážné.</w:t>
      </w:r>
      <w:r w:rsidR="001354AF" w:rsidRPr="004139BB">
        <w:rPr>
          <w:b w:val="0"/>
          <w:szCs w:val="22"/>
          <w:lang w:eastAsia="en-US"/>
        </w:rPr>
        <w:t xml:space="preserve"> </w:t>
      </w:r>
      <w:r w:rsidR="001354AF" w:rsidRPr="004139BB">
        <w:rPr>
          <w:b w:val="0"/>
          <w:bCs/>
          <w:szCs w:val="22"/>
        </w:rPr>
        <w:t>Lidé se známou přecitlivělostí na účinnou látku by se měli vyhnout kontaktu s veterinárním léčivým přípravkem</w:t>
      </w:r>
      <w:r w:rsidRPr="004139BB">
        <w:rPr>
          <w:b w:val="0"/>
          <w:szCs w:val="22"/>
          <w:lang w:bidi="cs-CZ"/>
        </w:rPr>
        <w:t>.</w:t>
      </w:r>
    </w:p>
    <w:p w:rsidR="003A1A3B" w:rsidRPr="004139BB" w:rsidRDefault="003A1A3B" w:rsidP="003A1A3B">
      <w:pPr>
        <w:jc w:val="both"/>
        <w:rPr>
          <w:b w:val="0"/>
          <w:szCs w:val="22"/>
        </w:rPr>
      </w:pPr>
      <w:r w:rsidRPr="004139BB">
        <w:rPr>
          <w:b w:val="0"/>
          <w:szCs w:val="22"/>
        </w:rPr>
        <w:t>V případě náhodného zasažení očí, vypláchněte oči velkým množstvím vody.</w:t>
      </w:r>
      <w:r w:rsidRPr="004139BB">
        <w:rPr>
          <w:b w:val="0"/>
          <w:szCs w:val="22"/>
          <w:lang w:eastAsia="en-US" w:bidi="cs-CZ"/>
        </w:rPr>
        <w:t xml:space="preserve"> V případě náhodného kontaktu s kůží omyjte exponovanou část vodou a mýdlem. </w:t>
      </w:r>
      <w:r w:rsidRPr="004139BB">
        <w:rPr>
          <w:b w:val="0"/>
          <w:szCs w:val="22"/>
        </w:rPr>
        <w:t>V případě náhodného sebepoškození injekčně aplikovaným přípravkem vyhledejte ihned lékařskou pomoc a ukažte příbalovou informaci nebo etiketu praktickému lékaři.</w:t>
      </w:r>
    </w:p>
    <w:p w:rsidR="003A1A3B" w:rsidRPr="004139BB" w:rsidRDefault="003A1A3B" w:rsidP="003A1A3B">
      <w:pPr>
        <w:ind w:right="282"/>
        <w:jc w:val="both"/>
        <w:rPr>
          <w:b w:val="0"/>
          <w:szCs w:val="22"/>
          <w:lang w:eastAsia="en-US"/>
        </w:rPr>
      </w:pPr>
      <w:r w:rsidRPr="004139BB">
        <w:rPr>
          <w:b w:val="0"/>
          <w:szCs w:val="22"/>
          <w:lang w:eastAsia="en-US"/>
        </w:rPr>
        <w:t xml:space="preserve">Pokud se u vás objeví </w:t>
      </w:r>
      <w:proofErr w:type="spellStart"/>
      <w:r w:rsidRPr="004139BB">
        <w:rPr>
          <w:b w:val="0"/>
          <w:szCs w:val="22"/>
          <w:lang w:eastAsia="en-US"/>
        </w:rPr>
        <w:t>postexpoziční</w:t>
      </w:r>
      <w:proofErr w:type="spellEnd"/>
      <w:r w:rsidRPr="004139BB">
        <w:rPr>
          <w:b w:val="0"/>
          <w:szCs w:val="22"/>
          <w:lang w:eastAsia="en-US"/>
        </w:rPr>
        <w:t xml:space="preserve"> příznaky, jako např. kožní vyrážka, vyhledejte lékařskou pomoc a ukažte příbalovou informaci nebo etiketu lékaři. Otok obličeje, rtů, očí nebo potíže s dýcháním jsou vážné příznaky a vyžadují okamžitou lékařskou pomoc.</w:t>
      </w:r>
    </w:p>
    <w:p w:rsidR="003A1A3B" w:rsidRPr="004139BB" w:rsidRDefault="003A1A3B" w:rsidP="003A1A3B">
      <w:pPr>
        <w:ind w:right="282"/>
        <w:jc w:val="both"/>
        <w:rPr>
          <w:b w:val="0"/>
          <w:szCs w:val="22"/>
          <w:lang w:eastAsia="en-US"/>
        </w:rPr>
      </w:pPr>
      <w:r w:rsidRPr="004139BB">
        <w:rPr>
          <w:b w:val="0"/>
          <w:szCs w:val="22"/>
          <w:lang w:eastAsia="en-US"/>
        </w:rPr>
        <w:t>Po použití si umyjte ruce.</w:t>
      </w:r>
    </w:p>
    <w:p w:rsidR="00FE5FCA" w:rsidRPr="004139BB" w:rsidRDefault="00FE5FCA">
      <w:pPr>
        <w:pStyle w:val="Zkladntext"/>
        <w:rPr>
          <w:szCs w:val="22"/>
        </w:rPr>
      </w:pPr>
    </w:p>
    <w:p w:rsidR="00FE5FCA" w:rsidRPr="004139BB" w:rsidRDefault="00FE5FCA">
      <w:pPr>
        <w:pStyle w:val="Zkladntext"/>
        <w:rPr>
          <w:szCs w:val="22"/>
          <w:u w:val="single"/>
        </w:rPr>
      </w:pPr>
      <w:r w:rsidRPr="004139BB">
        <w:rPr>
          <w:szCs w:val="22"/>
          <w:u w:val="single"/>
        </w:rPr>
        <w:t>Březost a laktace:</w:t>
      </w:r>
    </w:p>
    <w:p w:rsidR="00FE5FCA" w:rsidRPr="004139BB" w:rsidRDefault="00C01DBD">
      <w:pPr>
        <w:pStyle w:val="Zkladntext"/>
        <w:rPr>
          <w:szCs w:val="22"/>
        </w:rPr>
      </w:pPr>
      <w:r w:rsidRPr="004139BB">
        <w:rPr>
          <w:szCs w:val="22"/>
        </w:rPr>
        <w:t>Přípravek je bezpečný pro použití během březosti a laktace.</w:t>
      </w:r>
    </w:p>
    <w:p w:rsidR="00C01DBD" w:rsidRPr="004139BB" w:rsidRDefault="00C01DBD">
      <w:pPr>
        <w:pStyle w:val="Zkladntext"/>
        <w:rPr>
          <w:szCs w:val="22"/>
        </w:rPr>
      </w:pPr>
    </w:p>
    <w:p w:rsidR="00FE5FCA" w:rsidRPr="004139BB" w:rsidRDefault="00FE5FCA">
      <w:pPr>
        <w:pStyle w:val="Zkladntext"/>
        <w:rPr>
          <w:szCs w:val="22"/>
          <w:u w:val="single"/>
        </w:rPr>
      </w:pPr>
      <w:r w:rsidRPr="004139BB">
        <w:rPr>
          <w:szCs w:val="22"/>
          <w:u w:val="single"/>
        </w:rPr>
        <w:t>Interakce s dalšími léčivými přípravky a další formy interakce:</w:t>
      </w:r>
    </w:p>
    <w:p w:rsidR="00FE5FCA" w:rsidRPr="004139BB" w:rsidRDefault="008D0C8E">
      <w:pPr>
        <w:pStyle w:val="Zkladntext"/>
        <w:rPr>
          <w:szCs w:val="22"/>
        </w:rPr>
      </w:pPr>
      <w:r w:rsidRPr="004139BB">
        <w:rPr>
          <w:szCs w:val="22"/>
        </w:rPr>
        <w:t xml:space="preserve">Nepodávat současně s </w:t>
      </w:r>
      <w:proofErr w:type="spellStart"/>
      <w:r w:rsidRPr="004139BB">
        <w:rPr>
          <w:szCs w:val="22"/>
        </w:rPr>
        <w:t>bakteristatickými</w:t>
      </w:r>
      <w:proofErr w:type="spellEnd"/>
      <w:r w:rsidRPr="004139BB">
        <w:rPr>
          <w:szCs w:val="22"/>
        </w:rPr>
        <w:t xml:space="preserve"> antibiotiky (např. s tetracykliny), protože peniciliny vykazují aktivitu pouze u rostoucích bakterií.</w:t>
      </w:r>
    </w:p>
    <w:p w:rsidR="008D0C8E" w:rsidRPr="004139BB" w:rsidRDefault="008D0C8E">
      <w:pPr>
        <w:pStyle w:val="Zkladntext"/>
        <w:rPr>
          <w:szCs w:val="22"/>
        </w:rPr>
      </w:pPr>
    </w:p>
    <w:p w:rsidR="00FE5FCA" w:rsidRPr="004139BB" w:rsidRDefault="00FE5FCA">
      <w:pPr>
        <w:pStyle w:val="Zkladntext"/>
        <w:rPr>
          <w:szCs w:val="22"/>
          <w:u w:val="single"/>
        </w:rPr>
      </w:pPr>
      <w:r w:rsidRPr="004139BB">
        <w:rPr>
          <w:szCs w:val="22"/>
          <w:u w:val="single"/>
        </w:rPr>
        <w:lastRenderedPageBreak/>
        <w:t xml:space="preserve">Předávkování (symptomy, první pomoc, </w:t>
      </w:r>
      <w:proofErr w:type="spellStart"/>
      <w:r w:rsidRPr="004139BB">
        <w:rPr>
          <w:szCs w:val="22"/>
          <w:u w:val="single"/>
        </w:rPr>
        <w:t>antidota</w:t>
      </w:r>
      <w:proofErr w:type="spellEnd"/>
      <w:r w:rsidRPr="004139BB">
        <w:rPr>
          <w:szCs w:val="22"/>
          <w:u w:val="single"/>
        </w:rPr>
        <w:t>):</w:t>
      </w:r>
    </w:p>
    <w:p w:rsidR="00C01DBD" w:rsidRPr="004139BB" w:rsidRDefault="00C01DBD">
      <w:pPr>
        <w:pStyle w:val="Zkladntext"/>
        <w:rPr>
          <w:szCs w:val="22"/>
        </w:rPr>
      </w:pPr>
      <w:r w:rsidRPr="004139BB">
        <w:rPr>
          <w:szCs w:val="22"/>
        </w:rPr>
        <w:t>Neuvádí se.</w:t>
      </w:r>
    </w:p>
    <w:p w:rsidR="00C01DBD" w:rsidRPr="004139BB" w:rsidRDefault="00C01DBD">
      <w:pPr>
        <w:pStyle w:val="Zkladntext"/>
        <w:rPr>
          <w:szCs w:val="22"/>
        </w:rPr>
      </w:pPr>
    </w:p>
    <w:p w:rsidR="00047C55" w:rsidRPr="004139BB" w:rsidRDefault="00047C55">
      <w:pPr>
        <w:pStyle w:val="Zkladntext"/>
        <w:rPr>
          <w:szCs w:val="22"/>
          <w:u w:val="single"/>
        </w:rPr>
      </w:pPr>
      <w:r w:rsidRPr="004139BB">
        <w:rPr>
          <w:szCs w:val="22"/>
          <w:u w:val="single"/>
        </w:rPr>
        <w:t>Inkompatibility:</w:t>
      </w:r>
    </w:p>
    <w:p w:rsidR="00047C55" w:rsidRDefault="00047C55">
      <w:pPr>
        <w:pStyle w:val="Zkladntext"/>
      </w:pPr>
      <w:r w:rsidRPr="004139BB">
        <w:rPr>
          <w:szCs w:val="22"/>
        </w:rPr>
        <w:t>Studie kompatibility nejsou k dispozici, a proto tento veterinární léčivý přípravek nesmí být mísen s žádnými dalšími veterinárními</w:t>
      </w:r>
      <w:r w:rsidRPr="00047C55">
        <w:t xml:space="preserve"> léčivými přípravky.</w:t>
      </w:r>
    </w:p>
    <w:p w:rsidR="00DE67A4" w:rsidRDefault="00DE67A4">
      <w:pPr>
        <w:autoSpaceDE w:val="0"/>
        <w:autoSpaceDN w:val="0"/>
        <w:adjustRightInd w:val="0"/>
        <w:rPr>
          <w:b w:val="0"/>
          <w:bCs/>
        </w:rPr>
      </w:pPr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13.</w:t>
      </w:r>
      <w:r>
        <w:rPr>
          <w:bCs/>
        </w:rPr>
        <w:tab/>
        <w:t>ZVLÁŠTNÍ OPATŘENÍ PRO ZNEŠKODŇOVÁNÍ NEPOUŽITÝCH PŘÍPRAVKŮ NEBO ODPADU, POKUD JE JICH TŘEBA</w:t>
      </w:r>
    </w:p>
    <w:p w:rsidR="00DE67A4" w:rsidRDefault="00DE67A4">
      <w:pPr>
        <w:rPr>
          <w:bCs/>
        </w:rPr>
      </w:pPr>
    </w:p>
    <w:p w:rsidR="00BE22F5" w:rsidRPr="005E1026" w:rsidRDefault="00BE22F5" w:rsidP="00BE22F5">
      <w:pPr>
        <w:rPr>
          <w:b w:val="0"/>
        </w:rPr>
      </w:pPr>
      <w:r w:rsidRPr="005E1026">
        <w:rPr>
          <w:b w:val="0"/>
        </w:rPr>
        <w:t>Léčivé přípravky se nesmí likvidovat prostřednictvím odpadní vody či domovního odpadu.</w:t>
      </w:r>
    </w:p>
    <w:p w:rsidR="00DE67A4" w:rsidRPr="00D72F45" w:rsidRDefault="00BE22F5">
      <w:pPr>
        <w:rPr>
          <w:b w:val="0"/>
          <w:bCs/>
        </w:rPr>
      </w:pPr>
      <w:r w:rsidRPr="00246A80">
        <w:rPr>
          <w:b w:val="0"/>
        </w:rPr>
        <w:t>O možnostech likvidace nepotřebných léčivých přípravků se poraďte s vaším veterinárním lékařem nebo lékárníkem. Tato opatření napomáhají chránit životní prostředí.</w:t>
      </w:r>
    </w:p>
    <w:p w:rsidR="00DE67A4" w:rsidRDefault="00DE67A4">
      <w:pPr>
        <w:rPr>
          <w:bCs/>
        </w:rPr>
      </w:pPr>
    </w:p>
    <w:p w:rsidR="00BE22F5" w:rsidRDefault="00BE22F5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14.</w:t>
      </w:r>
      <w:r>
        <w:rPr>
          <w:bCs/>
        </w:rPr>
        <w:tab/>
        <w:t>DATUM POSLEDNÍ REVIZE PŘÍBALOVÉ INFORMACE</w:t>
      </w:r>
    </w:p>
    <w:p w:rsidR="00DE67A4" w:rsidRDefault="00DE67A4">
      <w:pPr>
        <w:rPr>
          <w:bCs/>
        </w:rPr>
      </w:pPr>
    </w:p>
    <w:p w:rsidR="00DE67A4" w:rsidRDefault="003E33B7">
      <w:pPr>
        <w:rPr>
          <w:bCs/>
        </w:rPr>
      </w:pPr>
      <w:r>
        <w:rPr>
          <w:b w:val="0"/>
        </w:rPr>
        <w:t>20. 3. 2024</w:t>
      </w:r>
      <w:bookmarkStart w:id="2" w:name="_GoBack"/>
      <w:bookmarkEnd w:id="2"/>
    </w:p>
    <w:p w:rsidR="00DE67A4" w:rsidRDefault="00DE67A4">
      <w:pPr>
        <w:rPr>
          <w:bCs/>
        </w:rPr>
      </w:pPr>
    </w:p>
    <w:p w:rsidR="00DE67A4" w:rsidRDefault="00DE67A4">
      <w:pPr>
        <w:rPr>
          <w:bCs/>
        </w:rPr>
      </w:pPr>
      <w:r w:rsidRPr="00C205B0">
        <w:rPr>
          <w:bCs/>
          <w:highlight w:val="lightGray"/>
        </w:rPr>
        <w:t>15.</w:t>
      </w:r>
      <w:r>
        <w:rPr>
          <w:bCs/>
        </w:rPr>
        <w:tab/>
        <w:t>DALŠÍ INFORMACE</w:t>
      </w:r>
    </w:p>
    <w:p w:rsidR="00DE67A4" w:rsidRDefault="00DE67A4">
      <w:pPr>
        <w:rPr>
          <w:bCs/>
        </w:rPr>
      </w:pPr>
    </w:p>
    <w:p w:rsidR="00DE67A4" w:rsidRDefault="00DE67A4">
      <w:pPr>
        <w:rPr>
          <w:b w:val="0"/>
          <w:bCs/>
        </w:rPr>
      </w:pPr>
      <w:r>
        <w:rPr>
          <w:b w:val="0"/>
          <w:bCs/>
        </w:rPr>
        <w:t>Pouze pro zvířata.</w:t>
      </w:r>
    </w:p>
    <w:p w:rsidR="00DE67A4" w:rsidRDefault="00DE67A4">
      <w:pPr>
        <w:rPr>
          <w:b w:val="0"/>
          <w:bCs/>
        </w:rPr>
      </w:pPr>
    </w:p>
    <w:p w:rsidR="00DE67A4" w:rsidRDefault="00DE67A4">
      <w:pPr>
        <w:ind w:right="566"/>
        <w:rPr>
          <w:b w:val="0"/>
          <w:bCs/>
        </w:rPr>
      </w:pPr>
      <w:r>
        <w:rPr>
          <w:b w:val="0"/>
          <w:bCs/>
        </w:rPr>
        <w:t>Veterinární léčivý přípravek je vydáván pouze na předpis.</w:t>
      </w:r>
    </w:p>
    <w:p w:rsidR="00DE67A4" w:rsidRDefault="00DE67A4">
      <w:pPr>
        <w:ind w:right="566"/>
        <w:rPr>
          <w:b w:val="0"/>
          <w:bCs/>
        </w:rPr>
      </w:pPr>
    </w:p>
    <w:p w:rsidR="00BA647B" w:rsidRPr="00BA647B" w:rsidRDefault="00BA647B" w:rsidP="00BA647B">
      <w:pPr>
        <w:ind w:right="566"/>
        <w:rPr>
          <w:b w:val="0"/>
          <w:bCs/>
        </w:rPr>
      </w:pPr>
      <w:r w:rsidRPr="00BA647B">
        <w:rPr>
          <w:b w:val="0"/>
          <w:bCs/>
        </w:rPr>
        <w:t xml:space="preserve">Velikosti balení: 1 x 50 ml, 1 x 100 ml, 1 x 250 ml </w:t>
      </w:r>
    </w:p>
    <w:p w:rsidR="00DE67A4" w:rsidRDefault="00BA647B" w:rsidP="00BA647B">
      <w:pPr>
        <w:ind w:right="566"/>
        <w:rPr>
          <w:b w:val="0"/>
          <w:bCs/>
        </w:rPr>
      </w:pPr>
      <w:r w:rsidRPr="00BA647B">
        <w:rPr>
          <w:b w:val="0"/>
          <w:bCs/>
        </w:rPr>
        <w:t>Na trhu nemusí být všechny velikosti balení.</w:t>
      </w:r>
    </w:p>
    <w:sectPr w:rsidR="00DE67A4">
      <w:footerReference w:type="default" r:id="rId9"/>
      <w:headerReference w:type="first" r:id="rId10"/>
      <w:footerReference w:type="first" r:id="rId11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761" w:rsidRDefault="00884761">
      <w:r>
        <w:separator/>
      </w:r>
    </w:p>
  </w:endnote>
  <w:endnote w:type="continuationSeparator" w:id="0">
    <w:p w:rsidR="00884761" w:rsidRDefault="0088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7A4" w:rsidRDefault="00DE67A4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DE67A4" w:rsidRDefault="00DE67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CC398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7A4" w:rsidRDefault="00DE67A4">
    <w:pPr>
      <w:pStyle w:val="Zpat"/>
      <w:tabs>
        <w:tab w:val="clear" w:pos="8930"/>
        <w:tab w:val="right" w:pos="8931"/>
      </w:tabs>
    </w:pPr>
  </w:p>
  <w:p w:rsidR="00DE67A4" w:rsidRDefault="00DE67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CC398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761" w:rsidRDefault="00884761">
      <w:r>
        <w:separator/>
      </w:r>
    </w:p>
  </w:footnote>
  <w:footnote w:type="continuationSeparator" w:id="0">
    <w:p w:rsidR="00884761" w:rsidRDefault="00884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18C" w:rsidRDefault="006F718C" w:rsidP="006F718C">
    <w:pPr>
      <w:pStyle w:val="Zhlav"/>
    </w:pPr>
    <w:r>
      <w:t xml:space="preserve"> </w:t>
    </w:r>
  </w:p>
  <w:p w:rsidR="006F718C" w:rsidRDefault="006F71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6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0C013F"/>
    <w:multiLevelType w:val="hybridMultilevel"/>
    <w:tmpl w:val="D870C0DC"/>
    <w:lvl w:ilvl="0" w:tplc="FFFFFFFF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0" w15:restartNumberingAfterBreak="0">
    <w:nsid w:val="3558352E"/>
    <w:multiLevelType w:val="multilevel"/>
    <w:tmpl w:val="C38EB98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17" w15:restartNumberingAfterBreak="0">
    <w:nsid w:val="5B591D47"/>
    <w:multiLevelType w:val="hybridMultilevel"/>
    <w:tmpl w:val="E8ACA836"/>
    <w:lvl w:ilvl="0" w:tplc="FFFFFFFF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C77C2D"/>
    <w:multiLevelType w:val="hybridMultilevel"/>
    <w:tmpl w:val="37E4A0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FCA2F94"/>
    <w:multiLevelType w:val="hybridMultilevel"/>
    <w:tmpl w:val="7DA6C8BE"/>
    <w:lvl w:ilvl="0" w:tplc="AA4001FC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2"/>
  </w:num>
  <w:num w:numId="5">
    <w:abstractNumId w:val="21"/>
  </w:num>
  <w:num w:numId="6">
    <w:abstractNumId w:val="8"/>
  </w:num>
  <w:num w:numId="7">
    <w:abstractNumId w:val="15"/>
  </w:num>
  <w:num w:numId="8">
    <w:abstractNumId w:val="14"/>
  </w:num>
  <w:num w:numId="9">
    <w:abstractNumId w:val="5"/>
  </w:num>
  <w:num w:numId="10">
    <w:abstractNumId w:val="19"/>
  </w:num>
  <w:num w:numId="11">
    <w:abstractNumId w:val="20"/>
  </w:num>
  <w:num w:numId="12">
    <w:abstractNumId w:val="11"/>
  </w:num>
  <w:num w:numId="13">
    <w:abstractNumId w:val="9"/>
  </w:num>
  <w:num w:numId="14">
    <w:abstractNumId w:val="2"/>
  </w:num>
  <w:num w:numId="15">
    <w:abstractNumId w:val="18"/>
  </w:num>
  <w:num w:numId="16">
    <w:abstractNumId w:val="13"/>
  </w:num>
  <w:num w:numId="17">
    <w:abstractNumId w:val="23"/>
  </w:num>
  <w:num w:numId="18">
    <w:abstractNumId w:val="6"/>
  </w:num>
  <w:num w:numId="19">
    <w:abstractNumId w:val="1"/>
  </w:num>
  <w:num w:numId="20">
    <w:abstractNumId w:val="12"/>
  </w:num>
  <w:num w:numId="21">
    <w:abstractNumId w:val="3"/>
  </w:num>
  <w:num w:numId="22">
    <w:abstractNumId w:val="4"/>
  </w:num>
  <w:num w:numId="23">
    <w:abstractNumId w:val="16"/>
  </w:num>
  <w:num w:numId="24">
    <w:abstractNumId w:val="7"/>
  </w:num>
  <w:num w:numId="25">
    <w:abstractNumId w:val="24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E5"/>
    <w:rsid w:val="000152BF"/>
    <w:rsid w:val="0004466E"/>
    <w:rsid w:val="00047C55"/>
    <w:rsid w:val="00060172"/>
    <w:rsid w:val="000A55C5"/>
    <w:rsid w:val="000A5F71"/>
    <w:rsid w:val="000D4BCD"/>
    <w:rsid w:val="000E12B3"/>
    <w:rsid w:val="000E29BF"/>
    <w:rsid w:val="000F39AE"/>
    <w:rsid w:val="00123257"/>
    <w:rsid w:val="001354AF"/>
    <w:rsid w:val="00154D5A"/>
    <w:rsid w:val="00175448"/>
    <w:rsid w:val="001E22E5"/>
    <w:rsid w:val="00203A53"/>
    <w:rsid w:val="0021590A"/>
    <w:rsid w:val="00246A80"/>
    <w:rsid w:val="002D3C7C"/>
    <w:rsid w:val="00361FA4"/>
    <w:rsid w:val="003A1A3B"/>
    <w:rsid w:val="003E33B7"/>
    <w:rsid w:val="004139BB"/>
    <w:rsid w:val="00414D2C"/>
    <w:rsid w:val="00435F07"/>
    <w:rsid w:val="004368AF"/>
    <w:rsid w:val="00436FB3"/>
    <w:rsid w:val="00461819"/>
    <w:rsid w:val="004C4B41"/>
    <w:rsid w:val="00517647"/>
    <w:rsid w:val="0058022F"/>
    <w:rsid w:val="005A501A"/>
    <w:rsid w:val="005E1026"/>
    <w:rsid w:val="005E6A9D"/>
    <w:rsid w:val="0061095C"/>
    <w:rsid w:val="00631938"/>
    <w:rsid w:val="006365D4"/>
    <w:rsid w:val="00655382"/>
    <w:rsid w:val="006818AF"/>
    <w:rsid w:val="006A027E"/>
    <w:rsid w:val="006A3150"/>
    <w:rsid w:val="006A7F10"/>
    <w:rsid w:val="006B2C0E"/>
    <w:rsid w:val="006D3C96"/>
    <w:rsid w:val="006F16ED"/>
    <w:rsid w:val="006F3684"/>
    <w:rsid w:val="006F718C"/>
    <w:rsid w:val="00700333"/>
    <w:rsid w:val="00710CAE"/>
    <w:rsid w:val="00792C2A"/>
    <w:rsid w:val="007A071F"/>
    <w:rsid w:val="007C6040"/>
    <w:rsid w:val="007E0393"/>
    <w:rsid w:val="007E5A9A"/>
    <w:rsid w:val="00884761"/>
    <w:rsid w:val="008D0C8E"/>
    <w:rsid w:val="009234C3"/>
    <w:rsid w:val="00951645"/>
    <w:rsid w:val="00952999"/>
    <w:rsid w:val="009679DF"/>
    <w:rsid w:val="009A25DD"/>
    <w:rsid w:val="00A146F8"/>
    <w:rsid w:val="00A175A5"/>
    <w:rsid w:val="00A2451B"/>
    <w:rsid w:val="00A57E40"/>
    <w:rsid w:val="00A86D31"/>
    <w:rsid w:val="00A93878"/>
    <w:rsid w:val="00AD4BDA"/>
    <w:rsid w:val="00B53EAD"/>
    <w:rsid w:val="00B7322A"/>
    <w:rsid w:val="00BA647B"/>
    <w:rsid w:val="00BB0E84"/>
    <w:rsid w:val="00BE22F5"/>
    <w:rsid w:val="00C01DBD"/>
    <w:rsid w:val="00C0228A"/>
    <w:rsid w:val="00C205B0"/>
    <w:rsid w:val="00CA5ECD"/>
    <w:rsid w:val="00CC398D"/>
    <w:rsid w:val="00CD31B6"/>
    <w:rsid w:val="00CE3B9C"/>
    <w:rsid w:val="00D72F45"/>
    <w:rsid w:val="00D97343"/>
    <w:rsid w:val="00DC5BAC"/>
    <w:rsid w:val="00DE67A4"/>
    <w:rsid w:val="00DE7024"/>
    <w:rsid w:val="00E15A52"/>
    <w:rsid w:val="00E43D73"/>
    <w:rsid w:val="00E47458"/>
    <w:rsid w:val="00EA2A5A"/>
    <w:rsid w:val="00F2498C"/>
    <w:rsid w:val="00F55DD0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BC6B1"/>
  <w15:chartTrackingRefBased/>
  <w15:docId w15:val="{8C116B90-700D-4CE5-B575-D3E9B545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b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 w:val="0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">
    <w:name w:val="Bullet"/>
    <w:basedOn w:val="Normln"/>
    <w:pPr>
      <w:numPr>
        <w:numId w:val="2"/>
      </w:numPr>
    </w:pPr>
    <w:rPr>
      <w:b w:val="0"/>
      <w:szCs w:val="20"/>
      <w:lang w:eastAsia="en-US"/>
    </w:rPr>
  </w:style>
  <w:style w:type="paragraph" w:styleId="Zkladntext">
    <w:name w:val="Body Text"/>
    <w:basedOn w:val="Normln"/>
    <w:link w:val="ZkladntextChar"/>
    <w:semiHidden/>
    <w:rPr>
      <w:b w:val="0"/>
      <w:bCs/>
    </w:rPr>
  </w:style>
  <w:style w:type="paragraph" w:styleId="Zkladntext2">
    <w:name w:val="Body Text 2"/>
    <w:basedOn w:val="Normln"/>
    <w:semiHidden/>
    <w:pPr>
      <w:ind w:right="-318"/>
    </w:pPr>
    <w:rPr>
      <w:b w:val="0"/>
    </w:rPr>
  </w:style>
  <w:style w:type="paragraph" w:styleId="Zpat">
    <w:name w:val="footer"/>
    <w:basedOn w:val="Normln"/>
    <w:semiHidden/>
    <w:pPr>
      <w:tabs>
        <w:tab w:val="center" w:pos="4536"/>
        <w:tab w:val="center" w:pos="8930"/>
      </w:tabs>
      <w:ind w:left="567" w:hanging="567"/>
    </w:pPr>
    <w:rPr>
      <w:rFonts w:ascii="Helvetica" w:hAnsi="Helvetica"/>
      <w:b w:val="0"/>
      <w:sz w:val="16"/>
      <w:szCs w:val="20"/>
      <w:lang w:eastAsia="en-US"/>
    </w:rPr>
  </w:style>
  <w:style w:type="paragraph" w:styleId="Zkladntext3">
    <w:name w:val="Body Text 3"/>
    <w:basedOn w:val="Normln"/>
    <w:semiHidden/>
    <w:rPr>
      <w:b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2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12B3"/>
    <w:rPr>
      <w:rFonts w:ascii="Tahoma" w:hAnsi="Tahoma" w:cs="Tahoma"/>
      <w:b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15A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A52"/>
    <w:rPr>
      <w:b/>
      <w:sz w:val="22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A25DD"/>
    <w:rPr>
      <w:color w:val="0000FF"/>
      <w:u w:val="single"/>
    </w:rPr>
  </w:style>
  <w:style w:type="paragraph" w:customStyle="1" w:styleId="Default">
    <w:name w:val="Default"/>
    <w:rsid w:val="000E29B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2498C"/>
    <w:rPr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1095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Samohýl a spol., v.o.s.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Petr Petráš</dc:creator>
  <cp:keywords/>
  <cp:lastModifiedBy>Šťastná Hana</cp:lastModifiedBy>
  <cp:revision>15</cp:revision>
  <cp:lastPrinted>2024-05-07T06:37:00Z</cp:lastPrinted>
  <dcterms:created xsi:type="dcterms:W3CDTF">2024-04-15T08:15:00Z</dcterms:created>
  <dcterms:modified xsi:type="dcterms:W3CDTF">2024-05-07T06:37:00Z</dcterms:modified>
</cp:coreProperties>
</file>