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82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1D53E0" w:rsidRDefault="001D53E0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1D53E0" w:rsidRDefault="001D53E0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1D53E0" w:rsidRPr="00334E97" w:rsidRDefault="001D53E0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  <w:r w:rsidRPr="00334E97">
        <w:rPr>
          <w:b/>
          <w:bCs/>
          <w:lang w:val="cs-CZ"/>
        </w:rPr>
        <w:t>B. PŘÍBALOVÁ INFORMACE</w:t>
      </w:r>
    </w:p>
    <w:p w:rsidR="00347827" w:rsidRPr="00334E97" w:rsidRDefault="00347827">
      <w:pPr>
        <w:tabs>
          <w:tab w:val="clear" w:pos="567"/>
        </w:tabs>
        <w:spacing w:line="240" w:lineRule="auto"/>
        <w:ind w:right="113"/>
        <w:jc w:val="center"/>
        <w:rPr>
          <w:lang w:val="cs-CZ"/>
        </w:rPr>
      </w:pPr>
      <w:r w:rsidRPr="00334E97">
        <w:rPr>
          <w:lang w:val="cs-CZ"/>
        </w:rPr>
        <w:br w:type="page"/>
      </w:r>
      <w:r w:rsidRPr="00334E97">
        <w:rPr>
          <w:b/>
          <w:bCs/>
          <w:lang w:val="cs-CZ"/>
        </w:rPr>
        <w:lastRenderedPageBreak/>
        <w:t>PŘÍBALOVÁ INFORMACE</w:t>
      </w:r>
    </w:p>
    <w:p w:rsidR="00ED12F5" w:rsidRDefault="00347827">
      <w:pPr>
        <w:spacing w:line="240" w:lineRule="auto"/>
        <w:jc w:val="center"/>
        <w:rPr>
          <w:lang w:val="cs-CZ"/>
        </w:rPr>
      </w:pPr>
      <w:r w:rsidRPr="00334E97">
        <w:rPr>
          <w:lang w:val="cs-CZ"/>
        </w:rPr>
        <w:t xml:space="preserve">Uniferon 200 mg/ml injekční roztok </w:t>
      </w:r>
    </w:p>
    <w:p w:rsidR="00347827" w:rsidRPr="00334E97" w:rsidRDefault="00347827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b/>
          <w:bCs/>
          <w:lang w:val="cs-CZ"/>
        </w:rPr>
      </w:pPr>
      <w:r w:rsidRPr="00334E97">
        <w:rPr>
          <w:b/>
          <w:bCs/>
          <w:lang w:val="cs-CZ"/>
        </w:rPr>
        <w:t>1.</w:t>
      </w:r>
      <w:r w:rsidRPr="00334E97">
        <w:rPr>
          <w:b/>
          <w:bCs/>
          <w:lang w:val="cs-CZ"/>
        </w:rPr>
        <w:tab/>
        <w:t>JMÉNO A ADRESA DRŽITELE ROZHODNUTÍ O REGISTRACI A DRŽITELE POVOLENÍ K VÝROBĚ ODPOVĚDNÉHO ZA UVOLNĚNÍ ŠARŽE, POKUD SE NESHODUJE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>Pharmacosmos A/S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>Roervangsvej 30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 xml:space="preserve">DK-4300 </w:t>
      </w:r>
      <w:r w:rsidRPr="00334E97">
        <w:rPr>
          <w:spacing w:val="-3"/>
          <w:lang w:val="cs-CZ"/>
        </w:rPr>
        <w:t>Holb</w:t>
      </w:r>
      <w:r w:rsidR="00244228">
        <w:rPr>
          <w:spacing w:val="-3"/>
          <w:lang w:val="cs-CZ"/>
        </w:rPr>
        <w:t>ae</w:t>
      </w:r>
      <w:r w:rsidRPr="00334E97">
        <w:rPr>
          <w:spacing w:val="-3"/>
          <w:lang w:val="cs-CZ"/>
        </w:rPr>
        <w:t>k</w:t>
      </w:r>
    </w:p>
    <w:p w:rsidR="00347827" w:rsidRPr="00334E97" w:rsidRDefault="00347827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2.</w:t>
      </w:r>
      <w:r w:rsidRPr="00334E97">
        <w:rPr>
          <w:b/>
          <w:bCs/>
          <w:lang w:val="cs-CZ"/>
        </w:rPr>
        <w:tab/>
        <w:t>NÁZEV VETERINÁRNÍHO LÉČIVÉHO PŘÍPRAVKU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rPr>
          <w:lang w:val="cs-CZ"/>
        </w:rPr>
      </w:pPr>
      <w:r w:rsidRPr="00334E97">
        <w:rPr>
          <w:spacing w:val="-3"/>
          <w:lang w:val="cs-CZ"/>
        </w:rPr>
        <w:t>Uniferon 200 mg/ml</w:t>
      </w:r>
      <w:r w:rsidRPr="00334E97">
        <w:rPr>
          <w:lang w:val="cs-CZ"/>
        </w:rPr>
        <w:t xml:space="preserve"> injekční roztok </w:t>
      </w:r>
    </w:p>
    <w:p w:rsidR="008E58EA" w:rsidRDefault="00ED12F5">
      <w:pPr>
        <w:spacing w:line="240" w:lineRule="auto"/>
        <w:ind w:left="567" w:hanging="567"/>
        <w:rPr>
          <w:lang w:val="cs-CZ"/>
        </w:rPr>
      </w:pPr>
      <w:proofErr w:type="spellStart"/>
      <w:r w:rsidRPr="00ED12F5">
        <w:rPr>
          <w:lang w:val="cs-CZ"/>
        </w:rPr>
        <w:t>Ferrum</w:t>
      </w:r>
      <w:proofErr w:type="spellEnd"/>
      <w:r w:rsidR="004A080A">
        <w:rPr>
          <w:lang w:val="cs-CZ"/>
        </w:rPr>
        <w:t xml:space="preserve"> </w:t>
      </w:r>
      <w:r w:rsidRPr="00BA21F2">
        <w:rPr>
          <w:lang w:val="cs-CZ"/>
        </w:rPr>
        <w:t>(III) ve form</w:t>
      </w:r>
      <w:r w:rsidRPr="00BA21F2">
        <w:rPr>
          <w:rFonts w:hint="eastAsia"/>
          <w:lang w:val="cs-CZ"/>
        </w:rPr>
        <w:t>ě</w:t>
      </w:r>
      <w:r w:rsidRPr="00BA21F2">
        <w:rPr>
          <w:lang w:val="cs-CZ"/>
        </w:rPr>
        <w:t xml:space="preserve"> </w:t>
      </w:r>
      <w:proofErr w:type="spellStart"/>
      <w:r w:rsidR="004A080A">
        <w:rPr>
          <w:lang w:val="cs-CZ"/>
        </w:rPr>
        <w:t>d</w:t>
      </w:r>
      <w:r w:rsidR="004A080A" w:rsidRPr="00BA21F2">
        <w:rPr>
          <w:lang w:val="cs-CZ"/>
        </w:rPr>
        <w:t>extraferranum</w:t>
      </w:r>
      <w:proofErr w:type="spellEnd"/>
      <w:r w:rsidR="004A080A" w:rsidRPr="00334E97" w:rsidDel="00ED12F5">
        <w:rPr>
          <w:lang w:val="cs-CZ"/>
        </w:rPr>
        <w:t xml:space="preserve"> </w:t>
      </w:r>
    </w:p>
    <w:p w:rsidR="008E58EA" w:rsidRDefault="008E58EA">
      <w:pPr>
        <w:spacing w:line="240" w:lineRule="auto"/>
        <w:ind w:left="567" w:hanging="567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b/>
          <w:bCs/>
          <w:lang w:val="cs-CZ"/>
        </w:rPr>
      </w:pPr>
      <w:r w:rsidRPr="00334E97">
        <w:rPr>
          <w:b/>
          <w:bCs/>
          <w:lang w:val="cs-CZ"/>
        </w:rPr>
        <w:t>3.</w:t>
      </w:r>
      <w:r w:rsidRPr="00334E97">
        <w:rPr>
          <w:b/>
          <w:bCs/>
          <w:lang w:val="cs-CZ"/>
        </w:rPr>
        <w:tab/>
        <w:t>OBSAH LÉČIVÝCH A OSTATNÍCH LÁTEK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 xml:space="preserve">Uniferon 200 mg/ml je tmavě hnědý </w:t>
      </w:r>
      <w:r w:rsidR="00224CBF" w:rsidRPr="00BA21F2">
        <w:rPr>
          <w:lang w:val="cs-CZ"/>
        </w:rPr>
        <w:t>ne</w:t>
      </w:r>
      <w:r w:rsidR="004A080A">
        <w:rPr>
          <w:lang w:val="cs-CZ"/>
        </w:rPr>
        <w:t>průhledný</w:t>
      </w:r>
      <w:r w:rsidR="00224CBF">
        <w:rPr>
          <w:lang w:val="cs-CZ"/>
        </w:rPr>
        <w:t xml:space="preserve"> </w:t>
      </w:r>
      <w:r w:rsidRPr="00334E97">
        <w:rPr>
          <w:lang w:val="cs-CZ"/>
        </w:rPr>
        <w:t xml:space="preserve">roztok. </w:t>
      </w: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Každý </w:t>
      </w:r>
      <w:r w:rsidR="004A080A">
        <w:rPr>
          <w:lang w:val="cs-CZ"/>
        </w:rPr>
        <w:t xml:space="preserve">1 </w:t>
      </w:r>
      <w:r w:rsidRPr="00334E97">
        <w:rPr>
          <w:lang w:val="cs-CZ"/>
        </w:rPr>
        <w:t xml:space="preserve">ml obsahuje </w:t>
      </w:r>
      <w:r w:rsidR="00224CBF" w:rsidRPr="00334E97">
        <w:rPr>
          <w:lang w:val="cs-CZ"/>
        </w:rPr>
        <w:t xml:space="preserve">200 mg </w:t>
      </w:r>
      <w:proofErr w:type="spellStart"/>
      <w:r w:rsidR="004A080A">
        <w:rPr>
          <w:lang w:val="cs-CZ"/>
        </w:rPr>
        <w:t>ferrum</w:t>
      </w:r>
      <w:proofErr w:type="spellEnd"/>
      <w:r w:rsidR="004A080A">
        <w:rPr>
          <w:lang w:val="cs-CZ"/>
        </w:rPr>
        <w:t xml:space="preserve"> </w:t>
      </w:r>
      <w:r w:rsidR="004A080A" w:rsidRPr="00334E97">
        <w:rPr>
          <w:lang w:val="cs-CZ"/>
        </w:rPr>
        <w:t>(III)</w:t>
      </w:r>
      <w:r w:rsidR="004A080A">
        <w:rPr>
          <w:lang w:val="cs-CZ"/>
        </w:rPr>
        <w:t xml:space="preserve"> </w:t>
      </w:r>
      <w:r w:rsidRPr="00334E97">
        <w:rPr>
          <w:lang w:val="cs-CZ"/>
        </w:rPr>
        <w:t xml:space="preserve">ve formě </w:t>
      </w:r>
      <w:proofErr w:type="spellStart"/>
      <w:r w:rsidR="004A080A">
        <w:rPr>
          <w:lang w:val="cs-CZ"/>
        </w:rPr>
        <w:t>d</w:t>
      </w:r>
      <w:r w:rsidR="004A080A" w:rsidRPr="008E58EA">
        <w:rPr>
          <w:lang w:val="cs-CZ"/>
        </w:rPr>
        <w:t>extraferranum</w:t>
      </w:r>
      <w:proofErr w:type="spellEnd"/>
      <w:r w:rsidR="00ED12F5" w:rsidRPr="008E58EA">
        <w:rPr>
          <w:lang w:val="cs-CZ"/>
        </w:rPr>
        <w:t>.</w:t>
      </w:r>
      <w:r w:rsidR="00ED12F5" w:rsidRPr="00334E97" w:rsidDel="00ED12F5">
        <w:rPr>
          <w:lang w:val="cs-CZ"/>
        </w:rPr>
        <w:t xml:space="preserve"> </w:t>
      </w:r>
    </w:p>
    <w:p w:rsidR="008E58EA" w:rsidRDefault="008E58EA">
      <w:pPr>
        <w:tabs>
          <w:tab w:val="clear" w:pos="567"/>
        </w:tabs>
        <w:spacing w:line="240" w:lineRule="auto"/>
        <w:rPr>
          <w:b/>
          <w:bCs/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rPr>
          <w:b/>
          <w:bCs/>
          <w:lang w:val="cs-CZ"/>
        </w:rPr>
      </w:pPr>
      <w:r w:rsidRPr="00334E97">
        <w:rPr>
          <w:b/>
          <w:bCs/>
          <w:lang w:val="cs-CZ"/>
        </w:rPr>
        <w:t>4.</w:t>
      </w:r>
      <w:r w:rsidRPr="00334E97">
        <w:rPr>
          <w:b/>
          <w:bCs/>
          <w:lang w:val="cs-CZ"/>
        </w:rPr>
        <w:tab/>
        <w:t>INDIKACE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224CBF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U s</w:t>
      </w:r>
      <w:r w:rsidR="00ED12F5">
        <w:rPr>
          <w:lang w:val="cs-CZ"/>
        </w:rPr>
        <w:t>e</w:t>
      </w:r>
      <w:r w:rsidR="00347827" w:rsidRPr="00334E97">
        <w:rPr>
          <w:lang w:val="cs-CZ"/>
        </w:rPr>
        <w:t xml:space="preserve">lat: Léčba a prevence anémie z nedostatku železa. 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rPr>
          <w:b/>
          <w:bCs/>
          <w:lang w:val="cs-CZ"/>
        </w:rPr>
      </w:pPr>
      <w:r w:rsidRPr="00334E97">
        <w:rPr>
          <w:b/>
          <w:bCs/>
          <w:lang w:val="cs-CZ"/>
        </w:rPr>
        <w:t>5.</w:t>
      </w:r>
      <w:r w:rsidRPr="00334E97">
        <w:rPr>
          <w:b/>
          <w:bCs/>
          <w:lang w:val="cs-CZ"/>
        </w:rPr>
        <w:tab/>
        <w:t>KONTRAINDIKACE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244228">
      <w:pPr>
        <w:spacing w:line="240" w:lineRule="auto"/>
        <w:rPr>
          <w:lang w:val="cs-CZ"/>
        </w:rPr>
      </w:pPr>
      <w:r>
        <w:rPr>
          <w:lang w:val="cs-CZ"/>
        </w:rPr>
        <w:t>Nepodávejte selatům</w:t>
      </w:r>
      <w:r w:rsidR="00347827" w:rsidRPr="00334E97">
        <w:rPr>
          <w:lang w:val="cs-CZ"/>
        </w:rPr>
        <w:t>, u nichž</w:t>
      </w:r>
      <w:r w:rsidR="00ED12F5">
        <w:rPr>
          <w:lang w:val="cs-CZ"/>
        </w:rPr>
        <w:t xml:space="preserve"> </w:t>
      </w:r>
      <w:r w:rsidR="00347827" w:rsidRPr="00334E97">
        <w:rPr>
          <w:lang w:val="cs-CZ"/>
        </w:rPr>
        <w:t>je podezření na nedostatek vitamínu E a</w:t>
      </w:r>
      <w:r w:rsidR="00E50AFE">
        <w:rPr>
          <w:lang w:val="cs-CZ"/>
        </w:rPr>
        <w:t>/</w:t>
      </w:r>
      <w:r w:rsidR="00347827" w:rsidRPr="00334E97">
        <w:rPr>
          <w:lang w:val="cs-CZ"/>
        </w:rPr>
        <w:t xml:space="preserve">nebo selenu. </w:t>
      </w:r>
    </w:p>
    <w:p w:rsidR="00347827" w:rsidRPr="00334E97" w:rsidRDefault="00347827">
      <w:pPr>
        <w:spacing w:line="240" w:lineRule="auto"/>
        <w:rPr>
          <w:lang w:val="cs-CZ"/>
        </w:rPr>
      </w:pPr>
      <w:r w:rsidRPr="00334E97">
        <w:rPr>
          <w:lang w:val="cs-CZ"/>
        </w:rPr>
        <w:t>Nepoužívat v případě přecitlivělosti na léčivou</w:t>
      </w:r>
      <w:r w:rsidR="00224CBF">
        <w:rPr>
          <w:lang w:val="cs-CZ"/>
        </w:rPr>
        <w:t>(é)</w:t>
      </w:r>
      <w:r w:rsidRPr="00334E97">
        <w:rPr>
          <w:lang w:val="cs-CZ"/>
        </w:rPr>
        <w:t xml:space="preserve"> látku</w:t>
      </w:r>
      <w:r w:rsidR="00224CBF">
        <w:rPr>
          <w:lang w:val="cs-CZ"/>
        </w:rPr>
        <w:t>(y)</w:t>
      </w:r>
      <w:r w:rsidRPr="00334E97">
        <w:rPr>
          <w:lang w:val="cs-CZ"/>
        </w:rPr>
        <w:t>.</w:t>
      </w:r>
    </w:p>
    <w:p w:rsidR="00347827" w:rsidRPr="00334E97" w:rsidRDefault="00347827">
      <w:pPr>
        <w:spacing w:line="240" w:lineRule="auto"/>
        <w:rPr>
          <w:lang w:val="cs-CZ"/>
        </w:rPr>
      </w:pPr>
      <w:r w:rsidRPr="00334E97">
        <w:rPr>
          <w:lang w:val="cs-CZ"/>
        </w:rPr>
        <w:t>Nepoužívejte dextran železa u starších prasat, protože by mohlo u zvířat starších 4 týdn</w:t>
      </w:r>
      <w:r w:rsidR="006113F4">
        <w:rPr>
          <w:lang w:val="cs-CZ"/>
        </w:rPr>
        <w:t>ů</w:t>
      </w:r>
      <w:r w:rsidRPr="00334E97">
        <w:rPr>
          <w:lang w:val="cs-CZ"/>
        </w:rPr>
        <w:t xml:space="preserve"> dojít k obarvení masa.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6.</w:t>
      </w:r>
      <w:r w:rsidRPr="00334E97">
        <w:rPr>
          <w:b/>
          <w:bCs/>
          <w:lang w:val="cs-CZ"/>
        </w:rPr>
        <w:tab/>
        <w:t>NEŽÁDOUCÍ ÚČINKY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8E58EA">
        <w:rPr>
          <w:lang w:val="cs-CZ"/>
        </w:rPr>
        <w:t xml:space="preserve">Velmi vzácně došlo u </w:t>
      </w:r>
      <w:r w:rsidRPr="00343523">
        <w:rPr>
          <w:lang w:val="cs-CZ"/>
        </w:rPr>
        <w:t xml:space="preserve">selat </w:t>
      </w:r>
      <w:r w:rsidR="00343523" w:rsidRPr="00343523">
        <w:rPr>
          <w:lang w:val="cs-CZ"/>
        </w:rPr>
        <w:t>ke smrti</w:t>
      </w:r>
      <w:r w:rsidR="00343523">
        <w:rPr>
          <w:color w:val="1F497D"/>
          <w:lang w:val="cs-CZ"/>
        </w:rPr>
        <w:t xml:space="preserve"> </w:t>
      </w:r>
      <w:r w:rsidRPr="008E58EA">
        <w:rPr>
          <w:lang w:val="cs-CZ"/>
        </w:rPr>
        <w:t>po podání parenterálních přípravků dextranu železa</w:t>
      </w:r>
      <w:r w:rsidR="00D60AC0">
        <w:rPr>
          <w:lang w:val="cs-CZ"/>
        </w:rPr>
        <w:t xml:space="preserve"> </w:t>
      </w:r>
      <w:r w:rsidR="00D60AC0" w:rsidRPr="00BA17A1">
        <w:rPr>
          <w:spacing w:val="-3"/>
          <w:lang w:val="cs-CZ"/>
        </w:rPr>
        <w:t>("velmi vzácn</w:t>
      </w:r>
      <w:r w:rsidR="006113F4">
        <w:rPr>
          <w:spacing w:val="-3"/>
          <w:lang w:val="cs-CZ"/>
        </w:rPr>
        <w:t>ý výskyt</w:t>
      </w:r>
      <w:r w:rsidR="00D60AC0" w:rsidRPr="00BA17A1">
        <w:rPr>
          <w:spacing w:val="-3"/>
          <w:lang w:val="cs-CZ"/>
        </w:rPr>
        <w:t>" odpovídá méně než 1 zvíře reagující z 10000 léčených zvířat)</w:t>
      </w:r>
      <w:r w:rsidRPr="008E58EA">
        <w:rPr>
          <w:lang w:val="cs-CZ"/>
        </w:rPr>
        <w:t>. Tato úmrtí byla v souvislosti s genetickými faktory nebo nedostatkem vitamínu E a</w:t>
      </w:r>
      <w:r w:rsidR="00E50AFE" w:rsidRPr="008E58EA">
        <w:rPr>
          <w:lang w:val="cs-CZ"/>
        </w:rPr>
        <w:t>/</w:t>
      </w:r>
      <w:r w:rsidRPr="008E58EA">
        <w:rPr>
          <w:lang w:val="cs-CZ"/>
        </w:rPr>
        <w:t>nebo selenu.</w:t>
      </w:r>
    </w:p>
    <w:p w:rsidR="00347827" w:rsidRPr="008E58EA" w:rsidRDefault="00347827" w:rsidP="008E58EA">
      <w:pPr>
        <w:spacing w:line="240" w:lineRule="auto"/>
        <w:rPr>
          <w:lang w:val="cs-CZ"/>
        </w:rPr>
      </w:pPr>
      <w:r w:rsidRPr="008E58EA">
        <w:rPr>
          <w:lang w:val="cs-CZ"/>
        </w:rPr>
        <w:t>Byl</w:t>
      </w:r>
      <w:r w:rsidR="00224CBF">
        <w:rPr>
          <w:lang w:val="cs-CZ"/>
        </w:rPr>
        <w:t>a</w:t>
      </w:r>
      <w:r w:rsidRPr="008E58EA">
        <w:rPr>
          <w:lang w:val="cs-CZ"/>
        </w:rPr>
        <w:t xml:space="preserve"> hlášen</w:t>
      </w:r>
      <w:r w:rsidR="00224CBF">
        <w:rPr>
          <w:lang w:val="cs-CZ"/>
        </w:rPr>
        <w:t>a</w:t>
      </w:r>
      <w:r w:rsidRPr="008E58EA">
        <w:rPr>
          <w:lang w:val="cs-CZ"/>
        </w:rPr>
        <w:t xml:space="preserve"> občasn</w:t>
      </w:r>
      <w:r w:rsidR="00224CBF">
        <w:rPr>
          <w:lang w:val="cs-CZ"/>
        </w:rPr>
        <w:t>á</w:t>
      </w:r>
      <w:r w:rsidR="00E50AFE" w:rsidRPr="008E58EA">
        <w:rPr>
          <w:rFonts w:hint="eastAsia"/>
          <w:lang w:val="cs-CZ"/>
        </w:rPr>
        <w:t xml:space="preserve"> </w:t>
      </w:r>
      <w:r w:rsidR="00224CBF" w:rsidRPr="008E58EA">
        <w:rPr>
          <w:lang w:val="cs-CZ"/>
        </w:rPr>
        <w:t>úmrtí</w:t>
      </w:r>
      <w:r w:rsidR="00224CBF" w:rsidRPr="008E58EA">
        <w:rPr>
          <w:rFonts w:hint="eastAsia"/>
          <w:lang w:val="cs-CZ"/>
        </w:rPr>
        <w:t xml:space="preserve"> </w:t>
      </w:r>
      <w:r w:rsidRPr="008E58EA">
        <w:rPr>
          <w:lang w:val="cs-CZ"/>
        </w:rPr>
        <w:t>selat, která byla dáván</w:t>
      </w:r>
      <w:r w:rsidR="00224CBF">
        <w:rPr>
          <w:lang w:val="cs-CZ"/>
        </w:rPr>
        <w:t>a</w:t>
      </w:r>
      <w:r w:rsidRPr="008E58EA">
        <w:rPr>
          <w:lang w:val="cs-CZ"/>
        </w:rPr>
        <w:t xml:space="preserve"> do souvislosti se zvýšenou citlivostí na infekci v důsledku dočasného blokovacího účinku retikuloendotelového systému.</w:t>
      </w:r>
    </w:p>
    <w:p w:rsidR="00347827" w:rsidRPr="008E58EA" w:rsidRDefault="00347827" w:rsidP="008E58EA">
      <w:pPr>
        <w:spacing w:line="240" w:lineRule="auto"/>
        <w:rPr>
          <w:lang w:val="cs-CZ"/>
        </w:rPr>
      </w:pPr>
      <w:r w:rsidRPr="008E58EA">
        <w:rPr>
          <w:lang w:val="cs-CZ"/>
        </w:rPr>
        <w:t>Mohou se objevit reakce z přecitlivělosti.</w:t>
      </w:r>
    </w:p>
    <w:p w:rsidR="00347827" w:rsidRPr="008E58EA" w:rsidRDefault="009956A1" w:rsidP="008E58EA">
      <w:pPr>
        <w:spacing w:line="240" w:lineRule="auto"/>
        <w:rPr>
          <w:lang w:val="cs-CZ"/>
        </w:rPr>
      </w:pPr>
      <w:r>
        <w:rPr>
          <w:lang w:val="cs-CZ"/>
        </w:rPr>
        <w:t>P</w:t>
      </w:r>
      <w:r w:rsidR="00E50AFE" w:rsidRPr="008E58EA">
        <w:rPr>
          <w:lang w:val="cs-CZ"/>
        </w:rPr>
        <w:t>odání tohoto</w:t>
      </w:r>
      <w:r>
        <w:rPr>
          <w:lang w:val="cs-CZ"/>
        </w:rPr>
        <w:t xml:space="preserve"> </w:t>
      </w:r>
      <w:r w:rsidR="00347827" w:rsidRPr="008E58EA">
        <w:rPr>
          <w:lang w:val="cs-CZ"/>
        </w:rPr>
        <w:t>veterinární</w:t>
      </w:r>
      <w:r w:rsidR="00E50AFE" w:rsidRPr="008E58EA">
        <w:rPr>
          <w:lang w:val="cs-CZ"/>
        </w:rPr>
        <w:t>ho</w:t>
      </w:r>
      <w:r w:rsidR="00347827" w:rsidRPr="008E58EA">
        <w:rPr>
          <w:lang w:val="cs-CZ"/>
        </w:rPr>
        <w:t xml:space="preserve"> </w:t>
      </w:r>
      <w:r w:rsidR="00E50AFE" w:rsidRPr="008E58EA">
        <w:rPr>
          <w:lang w:val="cs-CZ"/>
        </w:rPr>
        <w:t>l</w:t>
      </w:r>
      <w:r w:rsidR="00E50AFE" w:rsidRPr="008E58EA">
        <w:rPr>
          <w:rFonts w:hint="eastAsia"/>
          <w:lang w:val="cs-CZ"/>
        </w:rPr>
        <w:t>éč</w:t>
      </w:r>
      <w:r w:rsidR="00E50AFE" w:rsidRPr="008E58EA">
        <w:rPr>
          <w:lang w:val="cs-CZ"/>
        </w:rPr>
        <w:t>iv</w:t>
      </w:r>
      <w:r w:rsidR="00E50AFE" w:rsidRPr="008E58EA">
        <w:rPr>
          <w:rFonts w:hint="eastAsia"/>
          <w:lang w:val="cs-CZ"/>
        </w:rPr>
        <w:t>é</w:t>
      </w:r>
      <w:r w:rsidR="00E50AFE" w:rsidRPr="008E58EA">
        <w:rPr>
          <w:lang w:val="cs-CZ"/>
        </w:rPr>
        <w:t xml:space="preserve">ho </w:t>
      </w:r>
      <w:r w:rsidR="00347827" w:rsidRPr="008E58EA">
        <w:rPr>
          <w:lang w:val="cs-CZ"/>
        </w:rPr>
        <w:t>přípravk</w:t>
      </w:r>
      <w:r w:rsidR="00E50AFE" w:rsidRPr="008E58EA">
        <w:rPr>
          <w:lang w:val="cs-CZ"/>
        </w:rPr>
        <w:t>u</w:t>
      </w:r>
      <w:r w:rsidR="00347827" w:rsidRPr="008E58EA">
        <w:rPr>
          <w:lang w:val="cs-CZ"/>
        </w:rPr>
        <w:t xml:space="preserve"> mohou způsobovat přechodnou změnu barvy a kalcifikac</w:t>
      </w:r>
      <w:r w:rsidR="00E50AFE" w:rsidRPr="008E58EA">
        <w:rPr>
          <w:lang w:val="cs-CZ"/>
        </w:rPr>
        <w:t>i</w:t>
      </w:r>
      <w:r w:rsidR="00347827" w:rsidRPr="008E58EA">
        <w:rPr>
          <w:lang w:val="cs-CZ"/>
        </w:rPr>
        <w:t xml:space="preserve"> v místě </w:t>
      </w:r>
      <w:r w:rsidR="00E50AFE" w:rsidRPr="008E58EA">
        <w:rPr>
          <w:lang w:val="cs-CZ"/>
        </w:rPr>
        <w:t>injek</w:t>
      </w:r>
      <w:r w:rsidR="00E50AFE" w:rsidRPr="008E58EA">
        <w:rPr>
          <w:rFonts w:hint="eastAsia"/>
          <w:lang w:val="cs-CZ"/>
        </w:rPr>
        <w:t>č</w:t>
      </w:r>
      <w:r w:rsidR="00E50AFE" w:rsidRPr="008E58EA">
        <w:rPr>
          <w:lang w:val="cs-CZ"/>
        </w:rPr>
        <w:t>n</w:t>
      </w:r>
      <w:r w:rsidR="00E50AFE" w:rsidRPr="008E58EA">
        <w:rPr>
          <w:rFonts w:hint="eastAsia"/>
          <w:lang w:val="cs-CZ"/>
        </w:rPr>
        <w:t>í</w:t>
      </w:r>
      <w:r w:rsidR="00E50AFE" w:rsidRPr="008E58EA">
        <w:rPr>
          <w:lang w:val="cs-CZ"/>
        </w:rPr>
        <w:t>ho podání</w:t>
      </w:r>
      <w:r w:rsidR="00347827" w:rsidRPr="008E58EA">
        <w:rPr>
          <w:lang w:val="cs-CZ"/>
        </w:rPr>
        <w:t>.</w:t>
      </w: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>Jestliže zaznamenáte jakékoliv nežádoucí účinky či jiné reakce, které nejsou uvedeny v této příbalové informaci, oznamte to prosím vašemu veterinárnímu lékaři.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7.</w:t>
      </w:r>
      <w:r w:rsidRPr="00334E97">
        <w:rPr>
          <w:b/>
          <w:bCs/>
          <w:lang w:val="cs-CZ"/>
        </w:rPr>
        <w:tab/>
        <w:t>CÍLOVÝ DRUH ZVÍŘAT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>Prasata (selata)</w:t>
      </w:r>
      <w:r w:rsidR="007C316A">
        <w:rPr>
          <w:lang w:val="cs-CZ"/>
        </w:rPr>
        <w:t>.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8.</w:t>
      </w:r>
      <w:r w:rsidRPr="00334E97">
        <w:rPr>
          <w:b/>
          <w:bCs/>
          <w:lang w:val="cs-CZ"/>
        </w:rPr>
        <w:tab/>
        <w:t>DÁVKOVÁNÍ PRO KAŽDÝ DRUH, CESTA(Y) A ZPŮSOB PODÁNÍ</w:t>
      </w:r>
    </w:p>
    <w:p w:rsidR="00347827" w:rsidRPr="00334E97" w:rsidRDefault="00347827" w:rsidP="008E58EA">
      <w:pPr>
        <w:spacing w:line="240" w:lineRule="auto"/>
        <w:rPr>
          <w:lang w:val="cs-CZ"/>
        </w:rPr>
      </w:pP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Intramuskulární nebo subkutánní </w:t>
      </w:r>
      <w:r w:rsidR="00E50AFE" w:rsidRPr="008E58EA">
        <w:rPr>
          <w:lang w:val="cs-CZ"/>
        </w:rPr>
        <w:t>podání</w:t>
      </w:r>
      <w:r w:rsidR="00343523">
        <w:rPr>
          <w:lang w:val="cs-CZ"/>
        </w:rPr>
        <w:t>.</w:t>
      </w:r>
      <w:r w:rsidR="00E50AFE" w:rsidRPr="008E58EA">
        <w:rPr>
          <w:lang w:val="cs-CZ"/>
        </w:rPr>
        <w:t xml:space="preserve"> </w:t>
      </w: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200 mg železa ve formě </w:t>
      </w:r>
      <w:proofErr w:type="spellStart"/>
      <w:r w:rsidR="001C3370">
        <w:rPr>
          <w:lang w:val="cs-CZ"/>
        </w:rPr>
        <w:t>ferri</w:t>
      </w:r>
      <w:r w:rsidRPr="00334E97">
        <w:rPr>
          <w:lang w:val="cs-CZ"/>
        </w:rPr>
        <w:t>dextranu</w:t>
      </w:r>
      <w:proofErr w:type="spellEnd"/>
      <w:r w:rsidRPr="00334E97">
        <w:rPr>
          <w:lang w:val="cs-CZ"/>
        </w:rPr>
        <w:t xml:space="preserve"> na jedno sele odpovídá 1 ml na jedno sele.</w:t>
      </w:r>
    </w:p>
    <w:p w:rsidR="00347827" w:rsidRPr="00334E97" w:rsidRDefault="00347827" w:rsidP="008E58EA">
      <w:pPr>
        <w:spacing w:line="240" w:lineRule="auto"/>
        <w:rPr>
          <w:lang w:val="cs-CZ"/>
        </w:rPr>
      </w:pP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Prevence: </w:t>
      </w:r>
      <w:r w:rsidR="001C3370" w:rsidRPr="008E58EA">
        <w:rPr>
          <w:lang w:val="cs-CZ"/>
        </w:rPr>
        <w:t xml:space="preserve">jednorázové </w:t>
      </w:r>
      <w:r w:rsidR="00CD5260" w:rsidRPr="00334E97">
        <w:rPr>
          <w:lang w:val="cs-CZ"/>
        </w:rPr>
        <w:t>injekční</w:t>
      </w:r>
      <w:r w:rsidR="00CD5260">
        <w:rPr>
          <w:lang w:val="cs-CZ"/>
        </w:rPr>
        <w:t xml:space="preserve"> </w:t>
      </w:r>
      <w:r w:rsidR="001C3370" w:rsidRPr="008E58EA">
        <w:rPr>
          <w:lang w:val="cs-CZ"/>
        </w:rPr>
        <w:t>podání</w:t>
      </w:r>
      <w:r w:rsidRPr="00334E97">
        <w:rPr>
          <w:lang w:val="cs-CZ"/>
        </w:rPr>
        <w:t xml:space="preserve"> v 1. – 4. dnu věku.</w:t>
      </w: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Léčba: </w:t>
      </w:r>
      <w:r w:rsidR="001C3370" w:rsidRPr="008E58EA">
        <w:rPr>
          <w:lang w:val="cs-CZ"/>
        </w:rPr>
        <w:t xml:space="preserve">jednorázové </w:t>
      </w:r>
      <w:r w:rsidR="00CD5260" w:rsidRPr="00334E97">
        <w:rPr>
          <w:lang w:val="cs-CZ"/>
        </w:rPr>
        <w:t>injekční</w:t>
      </w:r>
      <w:r w:rsidR="00CD5260" w:rsidRPr="008E58EA">
        <w:rPr>
          <w:lang w:val="cs-CZ"/>
        </w:rPr>
        <w:t xml:space="preserve"> </w:t>
      </w:r>
      <w:r w:rsidR="00343523">
        <w:rPr>
          <w:lang w:val="cs-CZ"/>
        </w:rPr>
        <w:t>podání</w:t>
      </w:r>
      <w:r w:rsidRPr="00334E97">
        <w:rPr>
          <w:lang w:val="cs-CZ"/>
        </w:rPr>
        <w:t>.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lastRenderedPageBreak/>
        <w:t xml:space="preserve">Vzhledem k omezeným množstvím studií biologické dostupnosti </w:t>
      </w:r>
      <w:proofErr w:type="spellStart"/>
      <w:r w:rsidR="001C3370">
        <w:rPr>
          <w:lang w:val="cs-CZ"/>
        </w:rPr>
        <w:t>ferri</w:t>
      </w:r>
      <w:r w:rsidRPr="00334E97">
        <w:rPr>
          <w:lang w:val="cs-CZ"/>
        </w:rPr>
        <w:t>dextranu</w:t>
      </w:r>
      <w:proofErr w:type="spellEnd"/>
      <w:r w:rsidRPr="00334E97">
        <w:rPr>
          <w:lang w:val="cs-CZ"/>
        </w:rPr>
        <w:t xml:space="preserve"> po subkutánní</w:t>
      </w:r>
      <w:r w:rsidR="001C3370">
        <w:rPr>
          <w:lang w:val="cs-CZ"/>
        </w:rPr>
        <w:t>m</w:t>
      </w:r>
      <w:r w:rsidRPr="00334E97">
        <w:rPr>
          <w:lang w:val="cs-CZ"/>
        </w:rPr>
        <w:t xml:space="preserve"> podání je doporučen</w:t>
      </w:r>
      <w:r w:rsidR="007C316A">
        <w:rPr>
          <w:lang w:val="cs-CZ"/>
        </w:rPr>
        <w:t>o</w:t>
      </w:r>
      <w:r w:rsidRPr="00334E97">
        <w:rPr>
          <w:lang w:val="cs-CZ"/>
        </w:rPr>
        <w:t xml:space="preserve"> intramuskulární</w:t>
      </w:r>
      <w:r w:rsidR="001C3370">
        <w:rPr>
          <w:lang w:val="cs-CZ"/>
        </w:rPr>
        <w:t xml:space="preserve"> </w:t>
      </w:r>
      <w:r w:rsidR="001C3370" w:rsidRPr="008E58EA">
        <w:rPr>
          <w:lang w:val="cs-CZ"/>
        </w:rPr>
        <w:t>podání</w:t>
      </w:r>
      <w:r w:rsidRPr="00334E97">
        <w:rPr>
          <w:lang w:val="cs-CZ"/>
        </w:rPr>
        <w:t xml:space="preserve">. </w:t>
      </w:r>
    </w:p>
    <w:p w:rsidR="00347827" w:rsidRPr="00334E97" w:rsidRDefault="00347827">
      <w:pPr>
        <w:spacing w:line="240" w:lineRule="auto"/>
        <w:ind w:left="567" w:hanging="567"/>
        <w:rPr>
          <w:b/>
          <w:bCs/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9.</w:t>
      </w:r>
      <w:r w:rsidRPr="00334E97">
        <w:rPr>
          <w:b/>
          <w:bCs/>
          <w:lang w:val="cs-CZ"/>
        </w:rPr>
        <w:tab/>
        <w:t>POKYNY PRO SPRÁVNÉ PODÁNÍ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CD5260">
      <w:pPr>
        <w:tabs>
          <w:tab w:val="clear" w:pos="567"/>
        </w:tabs>
        <w:spacing w:line="240" w:lineRule="auto"/>
        <w:rPr>
          <w:lang w:val="cs-CZ"/>
        </w:rPr>
      </w:pPr>
      <w:r w:rsidRPr="00CD5260">
        <w:rPr>
          <w:snapToGrid/>
          <w:color w:val="424945"/>
          <w:sz w:val="21"/>
          <w:szCs w:val="21"/>
          <w:lang w:val="cs-CZ" w:eastAsia="en-GB"/>
        </w:rPr>
        <w:t>Dodržujte obvyklé</w:t>
      </w:r>
      <w:r w:rsidRPr="00BA21F2" w:rsidDel="00CD5260">
        <w:rPr>
          <w:lang w:val="cs-CZ"/>
        </w:rPr>
        <w:t xml:space="preserve"> </w:t>
      </w:r>
      <w:r w:rsidR="001C3370" w:rsidRPr="00BA21F2">
        <w:rPr>
          <w:lang w:val="cs-CZ"/>
        </w:rPr>
        <w:t>aseptick</w:t>
      </w:r>
      <w:r>
        <w:rPr>
          <w:lang w:val="cs-CZ"/>
        </w:rPr>
        <w:t>é</w:t>
      </w:r>
      <w:r w:rsidR="001C3370" w:rsidRPr="00BA21F2">
        <w:rPr>
          <w:lang w:val="cs-CZ"/>
        </w:rPr>
        <w:t xml:space="preserve"> technik</w:t>
      </w:r>
      <w:r>
        <w:rPr>
          <w:lang w:val="cs-CZ"/>
        </w:rPr>
        <w:t>y</w:t>
      </w:r>
      <w:r w:rsidR="00347827" w:rsidRPr="00334E97">
        <w:rPr>
          <w:lang w:val="cs-CZ"/>
        </w:rPr>
        <w:t>.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rPr>
          <w:lang w:val="cs-CZ"/>
        </w:rPr>
      </w:pPr>
      <w:r w:rsidRPr="00334E97">
        <w:rPr>
          <w:b/>
          <w:bCs/>
          <w:lang w:val="cs-CZ"/>
        </w:rPr>
        <w:t>10.</w:t>
      </w:r>
      <w:r w:rsidRPr="00334E97">
        <w:rPr>
          <w:b/>
          <w:bCs/>
          <w:lang w:val="cs-CZ"/>
        </w:rPr>
        <w:tab/>
        <w:t>OCHRANNÁ LHŮTA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1C3370">
      <w:pPr>
        <w:tabs>
          <w:tab w:val="clear" w:pos="567"/>
        </w:tabs>
        <w:spacing w:line="240" w:lineRule="auto"/>
        <w:rPr>
          <w:lang w:val="cs-CZ"/>
        </w:rPr>
      </w:pPr>
      <w:r w:rsidRPr="00BA21F2">
        <w:rPr>
          <w:lang w:val="cs-CZ"/>
        </w:rPr>
        <w:t>Bez ochranných lh</w:t>
      </w:r>
      <w:r w:rsidRPr="00BA21F2">
        <w:rPr>
          <w:rFonts w:hint="eastAsia"/>
          <w:lang w:val="cs-CZ"/>
        </w:rPr>
        <w:t>ů</w:t>
      </w:r>
      <w:r w:rsidRPr="00BA21F2">
        <w:rPr>
          <w:lang w:val="cs-CZ"/>
        </w:rPr>
        <w:t>t</w:t>
      </w:r>
      <w:r w:rsidR="001B7616">
        <w:rPr>
          <w:lang w:val="cs-CZ"/>
        </w:rPr>
        <w:t>.</w:t>
      </w:r>
      <w:r w:rsidRPr="00BA21F2">
        <w:rPr>
          <w:lang w:val="cs-CZ"/>
        </w:rPr>
        <w:t xml:space="preserve"> </w:t>
      </w:r>
    </w:p>
    <w:p w:rsidR="008E58EA" w:rsidRDefault="008E58EA">
      <w:pPr>
        <w:spacing w:line="240" w:lineRule="auto"/>
        <w:ind w:left="567" w:hanging="567"/>
        <w:rPr>
          <w:b/>
          <w:bCs/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11.</w:t>
      </w:r>
      <w:r w:rsidRPr="00334E97">
        <w:rPr>
          <w:b/>
          <w:bCs/>
          <w:lang w:val="cs-CZ"/>
        </w:rPr>
        <w:tab/>
        <w:t>ZVLÁŠTNÍ OPATŘENÍ PRO UCHOVÁVÁNÍ</w:t>
      </w: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  <w:r w:rsidRPr="00334E97">
        <w:rPr>
          <w:lang w:val="cs-CZ"/>
        </w:rPr>
        <w:t>Uchovávat mimo dosah dětí.</w:t>
      </w: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  <w:r w:rsidRPr="00334E97">
        <w:rPr>
          <w:lang w:val="cs-CZ"/>
        </w:rPr>
        <w:t>Chraňte před mrazem</w:t>
      </w:r>
      <w:r w:rsidR="00343523">
        <w:rPr>
          <w:lang w:val="cs-CZ"/>
        </w:rPr>
        <w:t>.</w:t>
      </w: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-2"/>
        <w:rPr>
          <w:lang w:val="cs-CZ"/>
        </w:rPr>
      </w:pPr>
      <w:r w:rsidRPr="00334E97">
        <w:rPr>
          <w:lang w:val="cs-CZ"/>
        </w:rPr>
        <w:t xml:space="preserve">Nepoužívejte </w:t>
      </w:r>
      <w:r w:rsidR="002A39FA" w:rsidRPr="002A39FA">
        <w:rPr>
          <w:lang w:val="cs-CZ"/>
        </w:rPr>
        <w:t xml:space="preserve">tento veterinární léčivý přípravek </w:t>
      </w:r>
      <w:r w:rsidRPr="00334E97">
        <w:rPr>
          <w:lang w:val="cs-CZ"/>
        </w:rPr>
        <w:t>po uplynutí doby použitelnosti uvedené na etiketě po EXP.</w:t>
      </w:r>
      <w:r w:rsidR="002A39FA">
        <w:rPr>
          <w:lang w:val="cs-CZ"/>
        </w:rPr>
        <w:t xml:space="preserve"> </w:t>
      </w:r>
      <w:r w:rsidR="002A39FA" w:rsidRPr="00A80947">
        <w:rPr>
          <w:lang w:val="cs-CZ"/>
        </w:rPr>
        <w:t>Doba použitelnosti končí posledním dnem v uvedeném měsíci.</w:t>
      </w:r>
    </w:p>
    <w:p w:rsidR="00347827" w:rsidRPr="00334E97" w:rsidRDefault="00347827">
      <w:pPr>
        <w:numPr>
          <w:ilvl w:val="12"/>
          <w:numId w:val="0"/>
        </w:numPr>
        <w:ind w:right="-2"/>
        <w:rPr>
          <w:lang w:val="cs-CZ"/>
        </w:rPr>
      </w:pPr>
    </w:p>
    <w:p w:rsidR="00347827" w:rsidRPr="00334E97" w:rsidRDefault="001C3370" w:rsidP="008E58EA">
      <w:pPr>
        <w:spacing w:line="240" w:lineRule="auto"/>
        <w:rPr>
          <w:lang w:val="cs-CZ"/>
        </w:rPr>
      </w:pPr>
      <w:r w:rsidRPr="008E58EA">
        <w:rPr>
          <w:lang w:val="cs-CZ"/>
        </w:rPr>
        <w:t xml:space="preserve">Doba </w:t>
      </w:r>
      <w:r>
        <w:rPr>
          <w:lang w:val="cs-CZ"/>
        </w:rPr>
        <w:t>p</w:t>
      </w:r>
      <w:r w:rsidR="00347827" w:rsidRPr="00334E97">
        <w:rPr>
          <w:lang w:val="cs-CZ"/>
        </w:rPr>
        <w:t>oužitelnost</w:t>
      </w:r>
      <w:r>
        <w:rPr>
          <w:lang w:val="cs-CZ"/>
        </w:rPr>
        <w:t>i</w:t>
      </w:r>
      <w:r w:rsidR="00347827" w:rsidRPr="00334E97">
        <w:rPr>
          <w:lang w:val="cs-CZ"/>
        </w:rPr>
        <w:t xml:space="preserve"> po prvním otevření vnitřního obalu: 28 dnů při teplotě do 25</w:t>
      </w:r>
      <w:r w:rsidR="004A080A">
        <w:rPr>
          <w:lang w:val="cs-CZ"/>
        </w:rPr>
        <w:t> </w:t>
      </w:r>
      <w:r w:rsidR="00347827" w:rsidRPr="00334E97">
        <w:rPr>
          <w:lang w:val="cs-CZ"/>
        </w:rPr>
        <w:t>ºC</w:t>
      </w:r>
      <w:r w:rsidR="004A080A">
        <w:rPr>
          <w:lang w:val="cs-CZ"/>
        </w:rPr>
        <w:t>.</w:t>
      </w:r>
      <w:r w:rsidR="00347827" w:rsidRPr="00334E97">
        <w:rPr>
          <w:lang w:val="cs-CZ"/>
        </w:rPr>
        <w:t xml:space="preserve"> 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12.</w:t>
      </w:r>
      <w:r w:rsidRPr="00334E97">
        <w:rPr>
          <w:b/>
          <w:bCs/>
          <w:lang w:val="cs-CZ"/>
        </w:rPr>
        <w:tab/>
        <w:t>ZVLÁŠTNÍ UPOZORNĚNÍ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2A39FA" w:rsidRPr="002A39FA" w:rsidRDefault="002A39FA" w:rsidP="002A39FA">
      <w:pPr>
        <w:spacing w:line="240" w:lineRule="auto"/>
        <w:rPr>
          <w:b/>
          <w:lang w:val="cs-CZ"/>
        </w:rPr>
      </w:pPr>
      <w:r w:rsidRPr="002A39FA">
        <w:rPr>
          <w:b/>
          <w:u w:val="single"/>
          <w:lang w:val="cs-CZ"/>
        </w:rPr>
        <w:t>Zvláštní opatření určené osobám, které podávají veterinární léčivý přípravek zvířatům</w:t>
      </w:r>
      <w:r w:rsidRPr="002A39FA">
        <w:rPr>
          <w:b/>
          <w:lang w:val="cs-CZ"/>
        </w:rPr>
        <w:t>:</w:t>
      </w:r>
    </w:p>
    <w:p w:rsidR="002A39FA" w:rsidRPr="006113F4" w:rsidRDefault="002A39FA" w:rsidP="002A39FA">
      <w:pPr>
        <w:spacing w:line="240" w:lineRule="auto"/>
        <w:rPr>
          <w:lang w:val="cs-CZ"/>
        </w:rPr>
      </w:pPr>
      <w:r w:rsidRPr="006113F4">
        <w:rPr>
          <w:lang w:val="cs-CZ"/>
        </w:rPr>
        <w:t xml:space="preserve">Předcházejte náhodnému samopodání injekce, zejména u osob se známou přecitlivělostí na </w:t>
      </w:r>
      <w:r w:rsidRPr="007C316A">
        <w:rPr>
          <w:lang w:val="cs-CZ"/>
        </w:rPr>
        <w:t>dextran</w:t>
      </w:r>
      <w:r w:rsidR="00FA3DB3" w:rsidRPr="007C316A">
        <w:rPr>
          <w:lang w:val="cs-CZ"/>
        </w:rPr>
        <w:t xml:space="preserve"> železa</w:t>
      </w:r>
      <w:r w:rsidRPr="007C316A">
        <w:rPr>
          <w:lang w:val="cs-CZ"/>
        </w:rPr>
        <w:t>. V případě náhodn</w:t>
      </w:r>
      <w:r w:rsidR="00FA3DB3" w:rsidRPr="00A80947">
        <w:rPr>
          <w:lang w:val="cs-CZ"/>
        </w:rPr>
        <w:t>é</w:t>
      </w:r>
      <w:r w:rsidRPr="00A80947">
        <w:rPr>
          <w:lang w:val="cs-CZ"/>
        </w:rPr>
        <w:t xml:space="preserve">ho sebepoškození injekčně aplikovaným přípravkem vyhledejte ihned lékařskou pomoc a ukažte příbalovou informaci nebo etiketu praktickému lékaři. Po použití </w:t>
      </w:r>
      <w:r w:rsidRPr="006113F4">
        <w:rPr>
          <w:lang w:val="cs-CZ"/>
        </w:rPr>
        <w:t>si umyjte ruce.</w:t>
      </w:r>
    </w:p>
    <w:p w:rsidR="002A39FA" w:rsidRDefault="002A39FA" w:rsidP="008E58EA">
      <w:pPr>
        <w:spacing w:line="240" w:lineRule="auto"/>
        <w:rPr>
          <w:lang w:val="cs-CZ"/>
        </w:rPr>
      </w:pPr>
    </w:p>
    <w:p w:rsidR="002A39FA" w:rsidRPr="002A39FA" w:rsidRDefault="002A39FA" w:rsidP="008E58EA">
      <w:pPr>
        <w:spacing w:line="240" w:lineRule="auto"/>
        <w:rPr>
          <w:b/>
          <w:lang w:val="cs-CZ"/>
        </w:rPr>
      </w:pPr>
      <w:r w:rsidRPr="002A39FA">
        <w:rPr>
          <w:b/>
          <w:u w:val="single"/>
        </w:rPr>
        <w:t>Interakce s dalšími léčivými přípravky a další formy interakce:</w:t>
      </w:r>
    </w:p>
    <w:p w:rsidR="00347827" w:rsidRPr="00334E97" w:rsidRDefault="001C3370" w:rsidP="008E58EA">
      <w:pPr>
        <w:spacing w:line="240" w:lineRule="auto"/>
        <w:rPr>
          <w:lang w:val="cs-CZ"/>
        </w:rPr>
      </w:pPr>
      <w:r w:rsidRPr="008E58EA">
        <w:rPr>
          <w:lang w:val="cs-CZ"/>
        </w:rPr>
        <w:t>Studie kompatibility nejsou k dispozici, a proto</w:t>
      </w:r>
      <w:r w:rsidR="00347827" w:rsidRPr="00334E97">
        <w:rPr>
          <w:lang w:val="cs-CZ"/>
        </w:rPr>
        <w:t xml:space="preserve"> tento veterinární léčivý přípravek </w:t>
      </w:r>
      <w:r w:rsidRPr="008E58EA">
        <w:rPr>
          <w:lang w:val="cs-CZ"/>
        </w:rPr>
        <w:t xml:space="preserve">nesmí být mísen s žádnými dalšími </w:t>
      </w:r>
      <w:r w:rsidR="00347827" w:rsidRPr="00334E97">
        <w:rPr>
          <w:lang w:val="cs-CZ"/>
        </w:rPr>
        <w:t>veterinárními léčivými přípravky.</w:t>
      </w:r>
    </w:p>
    <w:p w:rsidR="00347827" w:rsidRPr="00334E97" w:rsidRDefault="00347827" w:rsidP="008E58EA">
      <w:pPr>
        <w:spacing w:line="240" w:lineRule="auto"/>
        <w:rPr>
          <w:lang w:val="cs-CZ"/>
        </w:rPr>
      </w:pPr>
    </w:p>
    <w:p w:rsidR="00347827" w:rsidRPr="00343523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 xml:space="preserve">Při parenterálním podávání železa může dojít ke snížení vstřebávání současně </w:t>
      </w:r>
      <w:r w:rsidR="00665993" w:rsidRPr="00343523">
        <w:rPr>
          <w:rFonts w:cs="Arial"/>
          <w:lang w:val="cs-CZ"/>
        </w:rPr>
        <w:t xml:space="preserve">podávaného </w:t>
      </w:r>
      <w:r w:rsidR="00343523" w:rsidRPr="00343523">
        <w:rPr>
          <w:lang w:val="cs-CZ"/>
        </w:rPr>
        <w:t>perorálního železa.</w:t>
      </w:r>
    </w:p>
    <w:p w:rsidR="00343523" w:rsidRDefault="00343523" w:rsidP="008E58EA">
      <w:pPr>
        <w:spacing w:line="240" w:lineRule="auto"/>
        <w:rPr>
          <w:lang w:val="cs-CZ"/>
        </w:rPr>
      </w:pPr>
    </w:p>
    <w:p w:rsidR="00577086" w:rsidRPr="00577086" w:rsidRDefault="00577086" w:rsidP="008E58EA">
      <w:pPr>
        <w:spacing w:line="240" w:lineRule="auto"/>
        <w:rPr>
          <w:b/>
          <w:lang w:val="cs-CZ"/>
        </w:rPr>
      </w:pPr>
      <w:r w:rsidRPr="00577086">
        <w:rPr>
          <w:b/>
          <w:u w:val="single"/>
          <w:lang w:val="cs-CZ"/>
        </w:rPr>
        <w:t>Předávkování (symptomy, první pomoc, antidota)</w:t>
      </w:r>
      <w:r w:rsidRPr="00577086">
        <w:rPr>
          <w:b/>
          <w:lang w:val="cs-CZ"/>
        </w:rPr>
        <w:t>:</w:t>
      </w:r>
    </w:p>
    <w:p w:rsidR="00347827" w:rsidRPr="00334E97" w:rsidRDefault="00347827" w:rsidP="008E58EA">
      <w:pPr>
        <w:spacing w:line="240" w:lineRule="auto"/>
        <w:rPr>
          <w:lang w:val="cs-CZ"/>
        </w:rPr>
      </w:pPr>
      <w:r w:rsidRPr="00334E97">
        <w:rPr>
          <w:lang w:val="cs-CZ"/>
        </w:rPr>
        <w:t>Předávkování parenterálními přípravky železa může způsobovat bolest</w:t>
      </w:r>
      <w:r w:rsidR="00CD5260">
        <w:rPr>
          <w:lang w:val="cs-CZ"/>
        </w:rPr>
        <w:t>i</w:t>
      </w:r>
      <w:r w:rsidRPr="00334E97">
        <w:rPr>
          <w:lang w:val="cs-CZ"/>
        </w:rPr>
        <w:t xml:space="preserve">, zánětlivé reakce, vznik abscesu nebo </w:t>
      </w:r>
      <w:r w:rsidR="00053951" w:rsidRPr="00BA21F2">
        <w:rPr>
          <w:lang w:val="cs-CZ"/>
        </w:rPr>
        <w:t>trv</w:t>
      </w:r>
      <w:r w:rsidR="00AB0D16">
        <w:rPr>
          <w:lang w:val="cs-CZ"/>
        </w:rPr>
        <w:t>a</w:t>
      </w:r>
      <w:r w:rsidRPr="00334E97">
        <w:rPr>
          <w:lang w:val="cs-CZ"/>
        </w:rPr>
        <w:t xml:space="preserve">jící změnu barvy svalové tkáně v místě </w:t>
      </w:r>
      <w:r w:rsidR="00053951" w:rsidRPr="00BA21F2">
        <w:rPr>
          <w:lang w:val="cs-CZ"/>
        </w:rPr>
        <w:t>injek</w:t>
      </w:r>
      <w:r w:rsidR="00053951" w:rsidRPr="00BA21F2">
        <w:rPr>
          <w:rFonts w:hint="eastAsia"/>
          <w:lang w:val="cs-CZ"/>
        </w:rPr>
        <w:t>č</w:t>
      </w:r>
      <w:r w:rsidR="00053951" w:rsidRPr="00BA21F2">
        <w:rPr>
          <w:lang w:val="cs-CZ"/>
        </w:rPr>
        <w:t>n</w:t>
      </w:r>
      <w:r w:rsidR="00053951" w:rsidRPr="00BA21F2">
        <w:rPr>
          <w:rFonts w:hint="eastAsia"/>
          <w:lang w:val="cs-CZ"/>
        </w:rPr>
        <w:t>í</w:t>
      </w:r>
      <w:r w:rsidR="00053951" w:rsidRPr="00BA21F2">
        <w:rPr>
          <w:lang w:val="cs-CZ"/>
        </w:rPr>
        <w:t xml:space="preserve">ho podání </w:t>
      </w:r>
      <w:r w:rsidRPr="00334E97">
        <w:rPr>
          <w:lang w:val="cs-CZ"/>
        </w:rPr>
        <w:t>a také zvýšené riziko bakteriálního onemocnění. Předávkování může dále způsobovat iatrogenní otravu s následujícími příznaky: bledé sliznice, hemoragická gastroenteritis, zvracení, tachykardie, hypotenze, dušnost, otok končetin, slabost, šok, úmrtí, poškození jater. Mohou být použita podpůrná opatření, jako jsou chelatační látky.</w:t>
      </w:r>
    </w:p>
    <w:p w:rsidR="00347827" w:rsidRPr="00334E97" w:rsidRDefault="00347827" w:rsidP="008E58EA">
      <w:pPr>
        <w:spacing w:line="240" w:lineRule="auto"/>
        <w:rPr>
          <w:lang w:val="cs-CZ"/>
        </w:rPr>
      </w:pPr>
    </w:p>
    <w:p w:rsidR="00347827" w:rsidRPr="008E58EA" w:rsidRDefault="00347827" w:rsidP="008E58EA">
      <w:pPr>
        <w:spacing w:line="240" w:lineRule="auto"/>
        <w:rPr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b/>
          <w:bCs/>
          <w:lang w:val="cs-CZ"/>
        </w:rPr>
      </w:pPr>
      <w:r w:rsidRPr="00334E97">
        <w:rPr>
          <w:b/>
          <w:bCs/>
          <w:lang w:val="cs-CZ"/>
        </w:rPr>
        <w:t>13.</w:t>
      </w:r>
      <w:r w:rsidRPr="00334E97">
        <w:rPr>
          <w:b/>
          <w:bCs/>
          <w:lang w:val="cs-CZ"/>
        </w:rPr>
        <w:tab/>
        <w:t>ZVLÁŠTNÍ OPATŘENÍ PRO ZNEŠKODŇOVÁNÍ NEPOUŽITÝCH PŘÍPRAVKŮ NEBO ODPADU, POKUD JE JICH TŘEBA</w:t>
      </w:r>
    </w:p>
    <w:p w:rsidR="00347827" w:rsidRPr="00334E97" w:rsidRDefault="00347827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-318"/>
        <w:rPr>
          <w:lang w:val="cs-CZ"/>
        </w:rPr>
      </w:pPr>
      <w:r w:rsidRPr="00334E97">
        <w:rPr>
          <w:lang w:val="cs-CZ"/>
        </w:rPr>
        <w:t>Všechen nepoužitý veterinární léčivý přípravek nebo odpad, který pochází z tohoto přípravku, musí být likvidován podle místních právních předpisů.</w:t>
      </w:r>
    </w:p>
    <w:p w:rsidR="00347827" w:rsidRPr="00334E97" w:rsidRDefault="00347827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:rsidR="00347827" w:rsidRDefault="004B0C21">
      <w:pPr>
        <w:spacing w:line="240" w:lineRule="auto"/>
        <w:ind w:left="567" w:hanging="567"/>
        <w:rPr>
          <w:b/>
          <w:bCs/>
          <w:lang w:val="cs-CZ"/>
        </w:rPr>
      </w:pPr>
      <w:r>
        <w:rPr>
          <w:b/>
          <w:bCs/>
          <w:lang w:val="cs-CZ"/>
        </w:rPr>
        <w:br w:type="page"/>
      </w:r>
      <w:r w:rsidR="00347827" w:rsidRPr="00334E97">
        <w:rPr>
          <w:b/>
          <w:bCs/>
          <w:lang w:val="cs-CZ"/>
        </w:rPr>
        <w:lastRenderedPageBreak/>
        <w:t>14.</w:t>
      </w:r>
      <w:r w:rsidR="00347827" w:rsidRPr="00334E97">
        <w:rPr>
          <w:b/>
          <w:bCs/>
          <w:lang w:val="cs-CZ"/>
        </w:rPr>
        <w:tab/>
        <w:t>DATUM POSLEDNÍ REVIZE PŘÍBALOVÉ INFORMACE</w:t>
      </w:r>
    </w:p>
    <w:p w:rsidR="001D53E0" w:rsidRDefault="001D53E0">
      <w:pPr>
        <w:spacing w:line="240" w:lineRule="auto"/>
        <w:ind w:left="567" w:hanging="567"/>
        <w:rPr>
          <w:bCs/>
          <w:lang w:val="cs-CZ"/>
        </w:rPr>
      </w:pPr>
    </w:p>
    <w:p w:rsidR="00A80947" w:rsidRPr="00A80947" w:rsidRDefault="00A80947">
      <w:pPr>
        <w:spacing w:line="240" w:lineRule="auto"/>
        <w:ind w:left="567" w:hanging="567"/>
        <w:rPr>
          <w:lang w:val="cs-CZ"/>
        </w:rPr>
      </w:pPr>
      <w:bookmarkStart w:id="0" w:name="_GoBack"/>
      <w:bookmarkEnd w:id="0"/>
      <w:proofErr w:type="gramStart"/>
      <w:r w:rsidRPr="00A80947">
        <w:rPr>
          <w:bCs/>
          <w:lang w:val="cs-CZ"/>
        </w:rPr>
        <w:t>Duben</w:t>
      </w:r>
      <w:proofErr w:type="gramEnd"/>
      <w:r w:rsidRPr="00A80947">
        <w:rPr>
          <w:bCs/>
          <w:lang w:val="cs-CZ"/>
        </w:rPr>
        <w:t xml:space="preserve"> </w:t>
      </w:r>
      <w:r w:rsidR="0095302D" w:rsidRPr="00A80947">
        <w:rPr>
          <w:bCs/>
          <w:lang w:val="cs-CZ"/>
        </w:rPr>
        <w:t>20</w:t>
      </w:r>
      <w:r w:rsidR="0095302D">
        <w:rPr>
          <w:bCs/>
          <w:lang w:val="cs-CZ"/>
        </w:rPr>
        <w:t>24</w:t>
      </w:r>
    </w:p>
    <w:p w:rsidR="00347827" w:rsidRPr="00334E97" w:rsidRDefault="00347827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:rsidR="008E58EA" w:rsidRDefault="008E58EA">
      <w:pPr>
        <w:spacing w:line="240" w:lineRule="auto"/>
        <w:ind w:left="567" w:hanging="567"/>
        <w:rPr>
          <w:b/>
          <w:bCs/>
          <w:lang w:val="cs-CZ"/>
        </w:rPr>
      </w:pPr>
    </w:p>
    <w:p w:rsidR="00347827" w:rsidRPr="00334E97" w:rsidRDefault="00347827">
      <w:pPr>
        <w:spacing w:line="240" w:lineRule="auto"/>
        <w:ind w:left="567" w:hanging="567"/>
        <w:rPr>
          <w:lang w:val="cs-CZ"/>
        </w:rPr>
      </w:pPr>
      <w:r w:rsidRPr="00334E97">
        <w:rPr>
          <w:b/>
          <w:bCs/>
          <w:lang w:val="cs-CZ"/>
        </w:rPr>
        <w:t>15.</w:t>
      </w:r>
      <w:r w:rsidRPr="00334E97">
        <w:rPr>
          <w:b/>
          <w:bCs/>
          <w:lang w:val="cs-CZ"/>
        </w:rPr>
        <w:tab/>
        <w:t>DALŠÍ INFORMACE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</w:p>
    <w:p w:rsidR="001D4E95" w:rsidRPr="00BA21F2" w:rsidRDefault="001D4E95">
      <w:pPr>
        <w:tabs>
          <w:tab w:val="clear" w:pos="567"/>
        </w:tabs>
        <w:spacing w:line="240" w:lineRule="auto"/>
        <w:rPr>
          <w:lang w:val="cs-CZ"/>
        </w:rPr>
      </w:pPr>
      <w:r w:rsidRPr="00BA21F2">
        <w:rPr>
          <w:lang w:val="cs-CZ"/>
        </w:rPr>
        <w:t>Pouze pro zv</w:t>
      </w:r>
      <w:r w:rsidRPr="00BA21F2">
        <w:rPr>
          <w:rFonts w:hint="eastAsia"/>
          <w:lang w:val="cs-CZ"/>
        </w:rPr>
        <w:t>íř</w:t>
      </w:r>
      <w:r w:rsidRPr="00BA21F2">
        <w:rPr>
          <w:lang w:val="cs-CZ"/>
        </w:rPr>
        <w:t>ata.</w:t>
      </w:r>
    </w:p>
    <w:p w:rsidR="001D4E95" w:rsidRPr="00BA21F2" w:rsidRDefault="001D4E95">
      <w:pPr>
        <w:tabs>
          <w:tab w:val="clear" w:pos="567"/>
        </w:tabs>
        <w:spacing w:line="240" w:lineRule="auto"/>
        <w:rPr>
          <w:lang w:val="cs-CZ"/>
        </w:rPr>
      </w:pPr>
    </w:p>
    <w:p w:rsidR="001D4E95" w:rsidRDefault="001D4E95">
      <w:pPr>
        <w:tabs>
          <w:tab w:val="clear" w:pos="567"/>
        </w:tabs>
        <w:spacing w:line="240" w:lineRule="auto"/>
        <w:rPr>
          <w:lang w:val="cs-CZ"/>
        </w:rPr>
      </w:pPr>
      <w:r w:rsidRPr="00BA21F2">
        <w:rPr>
          <w:lang w:val="cs-CZ"/>
        </w:rPr>
        <w:t>Veterinární l</w:t>
      </w:r>
      <w:r w:rsidRPr="00BA21F2">
        <w:rPr>
          <w:rFonts w:hint="eastAsia"/>
          <w:lang w:val="cs-CZ"/>
        </w:rPr>
        <w:t>éč</w:t>
      </w:r>
      <w:r w:rsidRPr="00BA21F2">
        <w:rPr>
          <w:lang w:val="cs-CZ"/>
        </w:rPr>
        <w:t>iv</w:t>
      </w:r>
      <w:r w:rsidRPr="00BA21F2">
        <w:rPr>
          <w:rFonts w:hint="eastAsia"/>
          <w:lang w:val="cs-CZ"/>
        </w:rPr>
        <w:t>ý</w:t>
      </w:r>
      <w:r w:rsidRPr="00BA21F2">
        <w:rPr>
          <w:lang w:val="cs-CZ"/>
        </w:rPr>
        <w:t xml:space="preserve"> p</w:t>
      </w:r>
      <w:r w:rsidRPr="00BA21F2">
        <w:rPr>
          <w:rFonts w:hint="eastAsia"/>
          <w:lang w:val="cs-CZ"/>
        </w:rPr>
        <w:t>ří</w:t>
      </w:r>
      <w:r w:rsidRPr="00BA21F2">
        <w:rPr>
          <w:lang w:val="cs-CZ"/>
        </w:rPr>
        <w:t>pravek je vydáván pouze na p</w:t>
      </w:r>
      <w:r w:rsidRPr="00BA21F2">
        <w:rPr>
          <w:rFonts w:hint="eastAsia"/>
          <w:lang w:val="cs-CZ"/>
        </w:rPr>
        <w:t>ř</w:t>
      </w:r>
      <w:r w:rsidRPr="00BA21F2">
        <w:rPr>
          <w:lang w:val="cs-CZ"/>
        </w:rPr>
        <w:t>edpis.</w:t>
      </w:r>
    </w:p>
    <w:p w:rsidR="001D4E95" w:rsidRDefault="001D4E95">
      <w:pPr>
        <w:tabs>
          <w:tab w:val="clear" w:pos="567"/>
        </w:tabs>
        <w:spacing w:line="240" w:lineRule="auto"/>
        <w:rPr>
          <w:lang w:val="cs-CZ"/>
        </w:rPr>
      </w:pPr>
    </w:p>
    <w:p w:rsidR="00940516" w:rsidRDefault="004A080A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Přípravek je dostupný</w:t>
      </w:r>
      <w:r w:rsidR="00940516">
        <w:rPr>
          <w:lang w:val="cs-CZ"/>
        </w:rPr>
        <w:t xml:space="preserve"> v tvrdé plastové injekční lahvičce (HDPE), skleněné injekční lahvičce nebo měkké plastové injekční lahvičce (LDPE) v</w:t>
      </w:r>
      <w:r w:rsidR="0095302D">
        <w:rPr>
          <w:lang w:val="cs-CZ"/>
        </w:rPr>
        <w:t> </w:t>
      </w:r>
      <w:r w:rsidR="00940516">
        <w:rPr>
          <w:lang w:val="cs-CZ"/>
        </w:rPr>
        <w:t>hliníkové</w:t>
      </w:r>
      <w:r w:rsidR="0095302D">
        <w:rPr>
          <w:lang w:val="cs-CZ"/>
        </w:rPr>
        <w:t xml:space="preserve"> nebo průhledné fólii</w:t>
      </w:r>
      <w:r w:rsidR="00940516">
        <w:rPr>
          <w:lang w:val="cs-CZ"/>
        </w:rPr>
        <w:t>.</w:t>
      </w:r>
    </w:p>
    <w:p w:rsidR="00577086" w:rsidRDefault="00577086" w:rsidP="00577086">
      <w:pPr>
        <w:pStyle w:val="Zkladntextodsazen2"/>
        <w:tabs>
          <w:tab w:val="clear" w:pos="567"/>
          <w:tab w:val="left" w:pos="0"/>
        </w:tabs>
        <w:ind w:left="0" w:firstLine="0"/>
        <w:rPr>
          <w:b w:val="0"/>
          <w:lang w:val="fr-FR"/>
        </w:rPr>
      </w:pPr>
    </w:p>
    <w:p w:rsidR="00694A0F" w:rsidRPr="00694A0F" w:rsidRDefault="00694A0F" w:rsidP="00577086">
      <w:pPr>
        <w:pStyle w:val="Zkladntextodsazen2"/>
        <w:tabs>
          <w:tab w:val="clear" w:pos="567"/>
          <w:tab w:val="left" w:pos="0"/>
        </w:tabs>
        <w:ind w:left="0" w:firstLine="0"/>
        <w:rPr>
          <w:b w:val="0"/>
          <w:lang w:val="cs-CZ"/>
        </w:rPr>
      </w:pPr>
      <w:r w:rsidRPr="00694A0F">
        <w:rPr>
          <w:b w:val="0"/>
          <w:lang w:val="cs-CZ"/>
        </w:rPr>
        <w:t>Velikosti balení jsou následující:</w:t>
      </w:r>
    </w:p>
    <w:p w:rsidR="00694A0F" w:rsidRPr="00694A0F" w:rsidRDefault="00694A0F" w:rsidP="00577086">
      <w:pPr>
        <w:pStyle w:val="Zkladntextodsazen2"/>
        <w:tabs>
          <w:tab w:val="clear" w:pos="567"/>
          <w:tab w:val="left" w:pos="0"/>
        </w:tabs>
        <w:ind w:left="0" w:firstLine="0"/>
        <w:rPr>
          <w:b w:val="0"/>
          <w:lang w:val="cs-CZ"/>
        </w:rPr>
      </w:pPr>
      <w:r w:rsidRPr="00694A0F">
        <w:rPr>
          <w:b w:val="0"/>
          <w:lang w:val="cs-CZ"/>
        </w:rPr>
        <w:t>Tvrdá plastová injekční lahvička: 5 x 100 ml, 12 x 100 ml, 20 x 100 ml</w:t>
      </w:r>
    </w:p>
    <w:p w:rsidR="00694A0F" w:rsidRPr="00694A0F" w:rsidRDefault="00694A0F" w:rsidP="00577086">
      <w:pPr>
        <w:pStyle w:val="Zkladntextodsazen2"/>
        <w:tabs>
          <w:tab w:val="clear" w:pos="567"/>
          <w:tab w:val="left" w:pos="0"/>
        </w:tabs>
        <w:ind w:left="0" w:firstLine="0"/>
        <w:rPr>
          <w:b w:val="0"/>
          <w:lang w:val="cs-CZ"/>
        </w:rPr>
      </w:pPr>
      <w:r w:rsidRPr="00694A0F">
        <w:rPr>
          <w:b w:val="0"/>
          <w:lang w:val="cs-CZ"/>
        </w:rPr>
        <w:t>Skleněná injekční lahvička: 5 x 100 ml, 12 x 100 ml, 20 x 100 ml</w:t>
      </w:r>
    </w:p>
    <w:p w:rsidR="004A080A" w:rsidRPr="00694A0F" w:rsidRDefault="00694A0F" w:rsidP="00694A0F">
      <w:pPr>
        <w:pStyle w:val="Zkladntextodsazen2"/>
        <w:tabs>
          <w:tab w:val="clear" w:pos="567"/>
          <w:tab w:val="left" w:pos="0"/>
        </w:tabs>
        <w:ind w:left="0" w:firstLine="0"/>
        <w:rPr>
          <w:b w:val="0"/>
          <w:lang w:val="cs-CZ"/>
        </w:rPr>
      </w:pPr>
      <w:r>
        <w:rPr>
          <w:b w:val="0"/>
          <w:lang w:val="cs-CZ"/>
        </w:rPr>
        <w:t>Měkká</w:t>
      </w:r>
      <w:r w:rsidRPr="00694A0F">
        <w:rPr>
          <w:b w:val="0"/>
          <w:lang w:val="cs-CZ"/>
        </w:rPr>
        <w:t xml:space="preserve"> plastová injekční lahvička: 5 x 100 ml, 12 x 100 ml, 20 x 100 ml</w:t>
      </w:r>
      <w:r>
        <w:rPr>
          <w:b w:val="0"/>
          <w:lang w:val="cs-CZ"/>
        </w:rPr>
        <w:t>, 12 x 200 ml</w:t>
      </w:r>
    </w:p>
    <w:p w:rsidR="00347827" w:rsidRPr="00334E97" w:rsidRDefault="00347827">
      <w:pPr>
        <w:tabs>
          <w:tab w:val="clear" w:pos="567"/>
        </w:tabs>
        <w:spacing w:line="240" w:lineRule="auto"/>
        <w:rPr>
          <w:lang w:val="cs-CZ"/>
        </w:rPr>
      </w:pPr>
      <w:r w:rsidRPr="00334E97">
        <w:rPr>
          <w:lang w:val="cs-CZ"/>
        </w:rPr>
        <w:t>Na trhu nemusí být všechny velikosti balení.</w:t>
      </w:r>
    </w:p>
    <w:p w:rsidR="00347827" w:rsidRPr="00334E97" w:rsidRDefault="00347827">
      <w:pPr>
        <w:tabs>
          <w:tab w:val="clear" w:pos="567"/>
        </w:tabs>
        <w:spacing w:line="240" w:lineRule="auto"/>
        <w:ind w:right="-2"/>
        <w:rPr>
          <w:lang w:val="cs-CZ"/>
        </w:rPr>
      </w:pPr>
    </w:p>
    <w:p w:rsidR="00347827" w:rsidRPr="00334E97" w:rsidRDefault="00347827">
      <w:pPr>
        <w:tabs>
          <w:tab w:val="clear" w:pos="567"/>
        </w:tabs>
        <w:spacing w:line="240" w:lineRule="auto"/>
        <w:ind w:right="-2"/>
        <w:rPr>
          <w:lang w:val="cs-CZ"/>
        </w:rPr>
      </w:pPr>
      <w:r w:rsidRPr="00334E97">
        <w:rPr>
          <w:lang w:val="cs-CZ"/>
        </w:rPr>
        <w:t>Další informace o tomto veterinárním léčivém přípravku získáte u místního zástupce držitele rozhodnutí o registraci.</w:t>
      </w:r>
    </w:p>
    <w:p w:rsidR="00347827" w:rsidRPr="00334E97" w:rsidRDefault="00347827">
      <w:pPr>
        <w:rPr>
          <w:lang w:val="cs-CZ"/>
        </w:rPr>
      </w:pPr>
    </w:p>
    <w:p w:rsidR="00347827" w:rsidRDefault="00347827">
      <w:pPr>
        <w:tabs>
          <w:tab w:val="clear" w:pos="567"/>
        </w:tabs>
        <w:spacing w:line="240" w:lineRule="auto"/>
        <w:ind w:right="-2"/>
        <w:rPr>
          <w:lang w:val="cs-CZ"/>
        </w:rPr>
      </w:pPr>
    </w:p>
    <w:p w:rsidR="00347827" w:rsidRDefault="00347827">
      <w:pPr>
        <w:tabs>
          <w:tab w:val="clear" w:pos="567"/>
        </w:tabs>
        <w:spacing w:line="240" w:lineRule="auto"/>
        <w:rPr>
          <w:lang w:val="cs-CZ"/>
        </w:rPr>
      </w:pPr>
    </w:p>
    <w:sectPr w:rsidR="00347827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D2" w:rsidRDefault="00CD4BD2">
      <w:r>
        <w:separator/>
      </w:r>
    </w:p>
  </w:endnote>
  <w:endnote w:type="continuationSeparator" w:id="0">
    <w:p w:rsidR="00CD4BD2" w:rsidRDefault="00CD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16" w:rsidRDefault="00940516">
    <w:pPr>
      <w:pStyle w:val="Zpat"/>
      <w:tabs>
        <w:tab w:val="clear" w:pos="8930"/>
        <w:tab w:val="right" w:pos="8931"/>
      </w:tabs>
      <w:rPr>
        <w:lang w:val="el-GR"/>
      </w:rPr>
    </w:pPr>
  </w:p>
  <w:p w:rsidR="00940516" w:rsidRDefault="00940516">
    <w:pPr>
      <w:pStyle w:val="Zpat"/>
      <w:tabs>
        <w:tab w:val="clear" w:pos="8930"/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B0C2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16" w:rsidRDefault="00940516">
    <w:pPr>
      <w:pStyle w:val="Zpat"/>
      <w:tabs>
        <w:tab w:val="clear" w:pos="8930"/>
        <w:tab w:val="right" w:pos="8931"/>
      </w:tabs>
    </w:pPr>
  </w:p>
  <w:p w:rsidR="00940516" w:rsidRDefault="00940516">
    <w:pPr>
      <w:pStyle w:val="Zpat"/>
      <w:tabs>
        <w:tab w:val="clear" w:pos="8930"/>
        <w:tab w:val="right" w:pos="8931"/>
      </w:tabs>
      <w:jc w:val="center"/>
      <w:rPr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B0C2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D2" w:rsidRDefault="00CD4BD2">
      <w:r>
        <w:separator/>
      </w:r>
    </w:p>
  </w:footnote>
  <w:footnote w:type="continuationSeparator" w:id="0">
    <w:p w:rsidR="00CD4BD2" w:rsidRDefault="00CD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80F" w:rsidRPr="00C6680F" w:rsidRDefault="00C6680F">
    <w:pPr>
      <w:pStyle w:val="Zhlav"/>
      <w:rPr>
        <w:lang w:val="cs-CZ"/>
      </w:rPr>
    </w:pPr>
    <w:r>
      <w:rPr>
        <w:lang w:val="cs-CZ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978CD"/>
    <w:multiLevelType w:val="singleLevel"/>
    <w:tmpl w:val="31304CA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861EE"/>
    <w:multiLevelType w:val="multilevel"/>
    <w:tmpl w:val="6BBC69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8A768B"/>
    <w:multiLevelType w:val="hybridMultilevel"/>
    <w:tmpl w:val="054EF8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2702A2"/>
    <w:multiLevelType w:val="multilevel"/>
    <w:tmpl w:val="56EAE2C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vlJc w:val="left"/>
      <w:pPr>
        <w:ind w:left="1800" w:hanging="36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bCs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vlJc w:val="left"/>
      <w:pPr>
        <w:ind w:left="283" w:hanging="283"/>
      </w:pPr>
      <w:rPr>
        <w:rFonts w:ascii="Symbol" w:hAnsi="Symbol" w:cs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F49A2"/>
    <w:multiLevelType w:val="hybridMultilevel"/>
    <w:tmpl w:val="4D7641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5"/>
  </w:num>
  <w:num w:numId="7">
    <w:abstractNumId w:val="20"/>
  </w:num>
  <w:num w:numId="8">
    <w:abstractNumId w:val="8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9"/>
  </w:num>
  <w:num w:numId="16">
    <w:abstractNumId w:val="33"/>
  </w:num>
  <w:num w:numId="17">
    <w:abstractNumId w:val="9"/>
  </w:num>
  <w:num w:numId="18">
    <w:abstractNumId w:val="1"/>
  </w:num>
  <w:num w:numId="19">
    <w:abstractNumId w:val="16"/>
  </w:num>
  <w:num w:numId="20">
    <w:abstractNumId w:val="4"/>
  </w:num>
  <w:num w:numId="21">
    <w:abstractNumId w:val="7"/>
  </w:num>
  <w:num w:numId="22">
    <w:abstractNumId w:val="26"/>
  </w:num>
  <w:num w:numId="23">
    <w:abstractNumId w:val="34"/>
  </w:num>
  <w:num w:numId="24">
    <w:abstractNumId w:val="22"/>
  </w:num>
  <w:num w:numId="25">
    <w:abstractNumId w:val="11"/>
  </w:num>
  <w:num w:numId="26">
    <w:abstractNumId w:val="12"/>
  </w:num>
  <w:num w:numId="27">
    <w:abstractNumId w:val="5"/>
  </w:num>
  <w:num w:numId="28">
    <w:abstractNumId w:val="6"/>
  </w:num>
  <w:num w:numId="29">
    <w:abstractNumId w:val="23"/>
  </w:num>
  <w:num w:numId="30">
    <w:abstractNumId w:val="36"/>
  </w:num>
  <w:num w:numId="31">
    <w:abstractNumId w:val="37"/>
  </w:num>
  <w:num w:numId="32">
    <w:abstractNumId w:val="21"/>
  </w:num>
  <w:num w:numId="33">
    <w:abstractNumId w:val="27"/>
  </w:num>
  <w:num w:numId="34">
    <w:abstractNumId w:val="24"/>
  </w:num>
  <w:num w:numId="35">
    <w:abstractNumId w:val="2"/>
  </w:num>
  <w:num w:numId="36">
    <w:abstractNumId w:val="10"/>
  </w:num>
  <w:num w:numId="37">
    <w:abstractNumId w:val="18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DB5B15"/>
    <w:rsid w:val="00006553"/>
    <w:rsid w:val="000418E5"/>
    <w:rsid w:val="00043F12"/>
    <w:rsid w:val="00053951"/>
    <w:rsid w:val="00070695"/>
    <w:rsid w:val="000718CE"/>
    <w:rsid w:val="00075C57"/>
    <w:rsid w:val="00081BAB"/>
    <w:rsid w:val="00082A4D"/>
    <w:rsid w:val="00087E77"/>
    <w:rsid w:val="000B1DE4"/>
    <w:rsid w:val="000B2856"/>
    <w:rsid w:val="000B3403"/>
    <w:rsid w:val="000C58F0"/>
    <w:rsid w:val="000E3949"/>
    <w:rsid w:val="001045D8"/>
    <w:rsid w:val="001146F1"/>
    <w:rsid w:val="00124097"/>
    <w:rsid w:val="00147249"/>
    <w:rsid w:val="00157BC0"/>
    <w:rsid w:val="00162DC6"/>
    <w:rsid w:val="00163E3C"/>
    <w:rsid w:val="00177D8A"/>
    <w:rsid w:val="0018114A"/>
    <w:rsid w:val="0018611C"/>
    <w:rsid w:val="00187AA6"/>
    <w:rsid w:val="00194639"/>
    <w:rsid w:val="00196126"/>
    <w:rsid w:val="001A3EBC"/>
    <w:rsid w:val="001B582C"/>
    <w:rsid w:val="001B74A5"/>
    <w:rsid w:val="001B7616"/>
    <w:rsid w:val="001C3370"/>
    <w:rsid w:val="001C4407"/>
    <w:rsid w:val="001C4DE3"/>
    <w:rsid w:val="001D2779"/>
    <w:rsid w:val="001D4E95"/>
    <w:rsid w:val="001D503D"/>
    <w:rsid w:val="001D53E0"/>
    <w:rsid w:val="001D6428"/>
    <w:rsid w:val="001F2AC2"/>
    <w:rsid w:val="002046F4"/>
    <w:rsid w:val="00223005"/>
    <w:rsid w:val="00224CBF"/>
    <w:rsid w:val="00234F5D"/>
    <w:rsid w:val="00241529"/>
    <w:rsid w:val="00244228"/>
    <w:rsid w:val="002524F3"/>
    <w:rsid w:val="00252DAD"/>
    <w:rsid w:val="00257AD2"/>
    <w:rsid w:val="0026057C"/>
    <w:rsid w:val="00262BFB"/>
    <w:rsid w:val="002766A0"/>
    <w:rsid w:val="00281B46"/>
    <w:rsid w:val="00291EC4"/>
    <w:rsid w:val="002952F1"/>
    <w:rsid w:val="00295AC7"/>
    <w:rsid w:val="002A39FA"/>
    <w:rsid w:val="002A3DFB"/>
    <w:rsid w:val="002B039F"/>
    <w:rsid w:val="002B64BE"/>
    <w:rsid w:val="002B79A9"/>
    <w:rsid w:val="002C68E9"/>
    <w:rsid w:val="002E0542"/>
    <w:rsid w:val="002E162D"/>
    <w:rsid w:val="002E6418"/>
    <w:rsid w:val="002F21F7"/>
    <w:rsid w:val="002F70B7"/>
    <w:rsid w:val="003002E4"/>
    <w:rsid w:val="0031506A"/>
    <w:rsid w:val="00315DBB"/>
    <w:rsid w:val="00332CCB"/>
    <w:rsid w:val="00334E97"/>
    <w:rsid w:val="00343523"/>
    <w:rsid w:val="00346EF3"/>
    <w:rsid w:val="00347827"/>
    <w:rsid w:val="00350FA5"/>
    <w:rsid w:val="00362799"/>
    <w:rsid w:val="00366FE7"/>
    <w:rsid w:val="003704F6"/>
    <w:rsid w:val="00383785"/>
    <w:rsid w:val="003A0104"/>
    <w:rsid w:val="003A4F99"/>
    <w:rsid w:val="003A6CF2"/>
    <w:rsid w:val="003A6E08"/>
    <w:rsid w:val="003B63D8"/>
    <w:rsid w:val="003C58CC"/>
    <w:rsid w:val="003C79D7"/>
    <w:rsid w:val="003D1218"/>
    <w:rsid w:val="003E05CC"/>
    <w:rsid w:val="003F5EDA"/>
    <w:rsid w:val="003F72FA"/>
    <w:rsid w:val="004166C9"/>
    <w:rsid w:val="00416BD2"/>
    <w:rsid w:val="00416E92"/>
    <w:rsid w:val="004228F3"/>
    <w:rsid w:val="0043317C"/>
    <w:rsid w:val="0044160A"/>
    <w:rsid w:val="004723B4"/>
    <w:rsid w:val="00473449"/>
    <w:rsid w:val="0047595D"/>
    <w:rsid w:val="004928B8"/>
    <w:rsid w:val="004A080A"/>
    <w:rsid w:val="004B0C21"/>
    <w:rsid w:val="004C5FD3"/>
    <w:rsid w:val="004D3179"/>
    <w:rsid w:val="004D7B0D"/>
    <w:rsid w:val="004F4BF2"/>
    <w:rsid w:val="00503276"/>
    <w:rsid w:val="00504C34"/>
    <w:rsid w:val="00505A74"/>
    <w:rsid w:val="00533EC6"/>
    <w:rsid w:val="00540BB1"/>
    <w:rsid w:val="00544720"/>
    <w:rsid w:val="00547B60"/>
    <w:rsid w:val="00562037"/>
    <w:rsid w:val="00562130"/>
    <w:rsid w:val="00562B23"/>
    <w:rsid w:val="00563AD5"/>
    <w:rsid w:val="00577086"/>
    <w:rsid w:val="00577A0E"/>
    <w:rsid w:val="005804A8"/>
    <w:rsid w:val="00582495"/>
    <w:rsid w:val="005838DA"/>
    <w:rsid w:val="0058400C"/>
    <w:rsid w:val="005A03F7"/>
    <w:rsid w:val="005A6035"/>
    <w:rsid w:val="005B2D0B"/>
    <w:rsid w:val="005C3616"/>
    <w:rsid w:val="005D00E8"/>
    <w:rsid w:val="005D01C1"/>
    <w:rsid w:val="005D39CC"/>
    <w:rsid w:val="005D3F38"/>
    <w:rsid w:val="006113F4"/>
    <w:rsid w:val="0061264F"/>
    <w:rsid w:val="006148B0"/>
    <w:rsid w:val="0062268F"/>
    <w:rsid w:val="00623AD0"/>
    <w:rsid w:val="00632938"/>
    <w:rsid w:val="00634231"/>
    <w:rsid w:val="006408C3"/>
    <w:rsid w:val="00640D46"/>
    <w:rsid w:val="0064350E"/>
    <w:rsid w:val="0065232E"/>
    <w:rsid w:val="006537CA"/>
    <w:rsid w:val="00665993"/>
    <w:rsid w:val="00666567"/>
    <w:rsid w:val="00670722"/>
    <w:rsid w:val="00671AE6"/>
    <w:rsid w:val="00674C1B"/>
    <w:rsid w:val="006769A9"/>
    <w:rsid w:val="0068675C"/>
    <w:rsid w:val="006920A6"/>
    <w:rsid w:val="006929A0"/>
    <w:rsid w:val="00694A0F"/>
    <w:rsid w:val="00695C83"/>
    <w:rsid w:val="006A2CC3"/>
    <w:rsid w:val="006C219E"/>
    <w:rsid w:val="006C6707"/>
    <w:rsid w:val="006D0EAE"/>
    <w:rsid w:val="006F10E2"/>
    <w:rsid w:val="006F2D0A"/>
    <w:rsid w:val="007010F4"/>
    <w:rsid w:val="00701F63"/>
    <w:rsid w:val="007153DC"/>
    <w:rsid w:val="007318AF"/>
    <w:rsid w:val="00736CF5"/>
    <w:rsid w:val="007535D0"/>
    <w:rsid w:val="00757B5C"/>
    <w:rsid w:val="00765005"/>
    <w:rsid w:val="00765EB3"/>
    <w:rsid w:val="00792AFE"/>
    <w:rsid w:val="007A21CC"/>
    <w:rsid w:val="007A678C"/>
    <w:rsid w:val="007A68EF"/>
    <w:rsid w:val="007A7FA3"/>
    <w:rsid w:val="007B2AA2"/>
    <w:rsid w:val="007C316A"/>
    <w:rsid w:val="007C730F"/>
    <w:rsid w:val="007E50AF"/>
    <w:rsid w:val="007F3699"/>
    <w:rsid w:val="00815462"/>
    <w:rsid w:val="008228E9"/>
    <w:rsid w:val="00824583"/>
    <w:rsid w:val="0083402B"/>
    <w:rsid w:val="008445B5"/>
    <w:rsid w:val="0084695D"/>
    <w:rsid w:val="00864E6C"/>
    <w:rsid w:val="00867562"/>
    <w:rsid w:val="008740FE"/>
    <w:rsid w:val="00874185"/>
    <w:rsid w:val="008766D5"/>
    <w:rsid w:val="008B1906"/>
    <w:rsid w:val="008B3292"/>
    <w:rsid w:val="008B3949"/>
    <w:rsid w:val="008C1E37"/>
    <w:rsid w:val="008D6FC7"/>
    <w:rsid w:val="008E37C6"/>
    <w:rsid w:val="008E58EA"/>
    <w:rsid w:val="008E5C9B"/>
    <w:rsid w:val="008F66F6"/>
    <w:rsid w:val="00902834"/>
    <w:rsid w:val="00911A9B"/>
    <w:rsid w:val="00913CAF"/>
    <w:rsid w:val="00914055"/>
    <w:rsid w:val="00931A73"/>
    <w:rsid w:val="00931D69"/>
    <w:rsid w:val="00940516"/>
    <w:rsid w:val="00947CBB"/>
    <w:rsid w:val="0095302D"/>
    <w:rsid w:val="009825A4"/>
    <w:rsid w:val="009864FD"/>
    <w:rsid w:val="009956A1"/>
    <w:rsid w:val="009A29F1"/>
    <w:rsid w:val="009C25AD"/>
    <w:rsid w:val="009D0B90"/>
    <w:rsid w:val="009D6BD9"/>
    <w:rsid w:val="00A13388"/>
    <w:rsid w:val="00A21DE6"/>
    <w:rsid w:val="00A27B5B"/>
    <w:rsid w:val="00A27C5A"/>
    <w:rsid w:val="00A348A9"/>
    <w:rsid w:val="00A35190"/>
    <w:rsid w:val="00A547FA"/>
    <w:rsid w:val="00A54BCE"/>
    <w:rsid w:val="00A642BF"/>
    <w:rsid w:val="00A77E8B"/>
    <w:rsid w:val="00A80947"/>
    <w:rsid w:val="00A84F1C"/>
    <w:rsid w:val="00A85837"/>
    <w:rsid w:val="00A9723E"/>
    <w:rsid w:val="00AA7073"/>
    <w:rsid w:val="00AB0549"/>
    <w:rsid w:val="00AB0D16"/>
    <w:rsid w:val="00AC13D3"/>
    <w:rsid w:val="00AC2006"/>
    <w:rsid w:val="00AE1DB1"/>
    <w:rsid w:val="00B144A8"/>
    <w:rsid w:val="00B14858"/>
    <w:rsid w:val="00B2493F"/>
    <w:rsid w:val="00B267DA"/>
    <w:rsid w:val="00B6322F"/>
    <w:rsid w:val="00B65059"/>
    <w:rsid w:val="00B651B5"/>
    <w:rsid w:val="00B668DF"/>
    <w:rsid w:val="00B714D0"/>
    <w:rsid w:val="00B77BE4"/>
    <w:rsid w:val="00B90339"/>
    <w:rsid w:val="00B977F2"/>
    <w:rsid w:val="00BA1550"/>
    <w:rsid w:val="00BA21F2"/>
    <w:rsid w:val="00BA2A34"/>
    <w:rsid w:val="00BA5306"/>
    <w:rsid w:val="00BA5E6F"/>
    <w:rsid w:val="00BC016E"/>
    <w:rsid w:val="00BC12A7"/>
    <w:rsid w:val="00BC20FD"/>
    <w:rsid w:val="00BC270B"/>
    <w:rsid w:val="00BD10B7"/>
    <w:rsid w:val="00BE341D"/>
    <w:rsid w:val="00BF0DA3"/>
    <w:rsid w:val="00BF1463"/>
    <w:rsid w:val="00BF2795"/>
    <w:rsid w:val="00C1342A"/>
    <w:rsid w:val="00C15C9E"/>
    <w:rsid w:val="00C163F1"/>
    <w:rsid w:val="00C52BD4"/>
    <w:rsid w:val="00C645EE"/>
    <w:rsid w:val="00C6680F"/>
    <w:rsid w:val="00C72AB6"/>
    <w:rsid w:val="00C81942"/>
    <w:rsid w:val="00C8683B"/>
    <w:rsid w:val="00C86AA3"/>
    <w:rsid w:val="00C90509"/>
    <w:rsid w:val="00C926C5"/>
    <w:rsid w:val="00C94B3F"/>
    <w:rsid w:val="00CB378D"/>
    <w:rsid w:val="00CC5819"/>
    <w:rsid w:val="00CD1955"/>
    <w:rsid w:val="00CD2004"/>
    <w:rsid w:val="00CD2AC6"/>
    <w:rsid w:val="00CD4BD2"/>
    <w:rsid w:val="00CD5260"/>
    <w:rsid w:val="00CE4A9A"/>
    <w:rsid w:val="00CF242E"/>
    <w:rsid w:val="00CF7A89"/>
    <w:rsid w:val="00D000C5"/>
    <w:rsid w:val="00D36E6C"/>
    <w:rsid w:val="00D37B62"/>
    <w:rsid w:val="00D42E1F"/>
    <w:rsid w:val="00D46B82"/>
    <w:rsid w:val="00D47017"/>
    <w:rsid w:val="00D53B3E"/>
    <w:rsid w:val="00D545D8"/>
    <w:rsid w:val="00D60AC0"/>
    <w:rsid w:val="00D76676"/>
    <w:rsid w:val="00DA1D4C"/>
    <w:rsid w:val="00DB2A9A"/>
    <w:rsid w:val="00DB2DAE"/>
    <w:rsid w:val="00DB5B15"/>
    <w:rsid w:val="00DD37CB"/>
    <w:rsid w:val="00DD43B7"/>
    <w:rsid w:val="00DE02D3"/>
    <w:rsid w:val="00DE22D7"/>
    <w:rsid w:val="00DF54CD"/>
    <w:rsid w:val="00E01FEA"/>
    <w:rsid w:val="00E11135"/>
    <w:rsid w:val="00E13787"/>
    <w:rsid w:val="00E50AFE"/>
    <w:rsid w:val="00E51C10"/>
    <w:rsid w:val="00E54E85"/>
    <w:rsid w:val="00E631F8"/>
    <w:rsid w:val="00E63F5A"/>
    <w:rsid w:val="00E714C0"/>
    <w:rsid w:val="00E94466"/>
    <w:rsid w:val="00E96434"/>
    <w:rsid w:val="00EA6AEA"/>
    <w:rsid w:val="00EB361D"/>
    <w:rsid w:val="00EB4886"/>
    <w:rsid w:val="00ED12F5"/>
    <w:rsid w:val="00EE490F"/>
    <w:rsid w:val="00EE6C4E"/>
    <w:rsid w:val="00EE7530"/>
    <w:rsid w:val="00EF0BD5"/>
    <w:rsid w:val="00EF0D2E"/>
    <w:rsid w:val="00F00225"/>
    <w:rsid w:val="00F0650A"/>
    <w:rsid w:val="00F1056C"/>
    <w:rsid w:val="00F14259"/>
    <w:rsid w:val="00F235BE"/>
    <w:rsid w:val="00F2377D"/>
    <w:rsid w:val="00F47930"/>
    <w:rsid w:val="00F5348C"/>
    <w:rsid w:val="00F57E44"/>
    <w:rsid w:val="00F72520"/>
    <w:rsid w:val="00F73155"/>
    <w:rsid w:val="00F9529D"/>
    <w:rsid w:val="00FA3DB3"/>
    <w:rsid w:val="00FA771F"/>
    <w:rsid w:val="00FD2108"/>
    <w:rsid w:val="00FD7DEB"/>
    <w:rsid w:val="00FE05B2"/>
    <w:rsid w:val="00FE2CF5"/>
    <w:rsid w:val="00FF10DF"/>
    <w:rsid w:val="00FF2295"/>
    <w:rsid w:val="00FF34D0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7AE7D8"/>
  <w15:chartTrackingRefBased/>
  <w15:docId w15:val="{1EC58142-27C9-4A14-A8F9-688C6939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napToGrid w:val="0"/>
      <w:sz w:val="22"/>
      <w:szCs w:val="22"/>
      <w:lang w:val="en-GB" w:eastAsia="pl-PL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bCs/>
      <w:caps/>
      <w:sz w:val="26"/>
      <w:szCs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bCs/>
      <w:noProof/>
      <w:lang w:val="pl-PL"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bCs/>
      <w:noProof/>
      <w:lang w:val="pl-PL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snapToGrid/>
      <w:sz w:val="20"/>
      <w:szCs w:val="20"/>
      <w:lang w:eastAsia="x-none"/>
    </w:rPr>
  </w:style>
  <w:style w:type="paragraph" w:styleId="Obsah9">
    <w:name w:val="toc 9"/>
    <w:basedOn w:val="Normln"/>
    <w:next w:val="Normln"/>
    <w:autoRedefine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  <w:szCs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  <w:bCs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  <w:bCs/>
    </w:rPr>
  </w:style>
  <w:style w:type="paragraph" w:styleId="Zkladntext3">
    <w:name w:val="Body Text 3"/>
    <w:basedOn w:val="Normln"/>
    <w:pPr>
      <w:ind w:right="113"/>
      <w:jc w:val="both"/>
    </w:pPr>
    <w:rPr>
      <w:b/>
      <w:bCs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bCs/>
    </w:rPr>
  </w:style>
  <w:style w:type="paragraph" w:styleId="Textkomente">
    <w:name w:val="annotation text"/>
    <w:aliases w:val=" Tegn Tegn1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num" w:pos="1440"/>
      </w:tabs>
      <w:ind w:left="1440" w:hanging="360"/>
    </w:pPr>
    <w:rPr>
      <w:sz w:val="22"/>
      <w:szCs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num" w:pos="1440"/>
        <w:tab w:val="num" w:pos="3600"/>
      </w:tabs>
      <w:ind w:left="360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  <w:bCs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character" w:customStyle="1" w:styleId="longtext">
    <w:name w:val="long_text"/>
    <w:basedOn w:val="Standardnpsmoodstavce"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ZpatChar">
    <w:name w:val="Zápatí Char"/>
    <w:link w:val="Zpat"/>
    <w:locked/>
    <w:rPr>
      <w:lang w:val="en-GB"/>
    </w:rPr>
  </w:style>
  <w:style w:type="paragraph" w:customStyle="1" w:styleId="applresponse">
    <w:name w:val="appl response"/>
    <w:basedOn w:val="Normln"/>
    <w:autoRedefine/>
    <w:pPr>
      <w:tabs>
        <w:tab w:val="clear" w:pos="567"/>
      </w:tabs>
      <w:spacing w:line="240" w:lineRule="auto"/>
      <w:ind w:left="540"/>
      <w:jc w:val="both"/>
    </w:pPr>
    <w:rPr>
      <w:i/>
      <w:iCs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EMEA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General-EMEA/385409/2006</dc:subject>
  <dc:creator>Anne Pedersen</dc:creator>
  <cp:keywords/>
  <cp:lastModifiedBy>Neugebauerová Kateřina</cp:lastModifiedBy>
  <cp:revision>6</cp:revision>
  <cp:lastPrinted>2024-04-30T13:14:00Z</cp:lastPrinted>
  <dcterms:created xsi:type="dcterms:W3CDTF">2024-04-23T12:41:00Z</dcterms:created>
  <dcterms:modified xsi:type="dcterms:W3CDTF">2024-04-30T13:14:00Z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Hidden">
    <vt:lpwstr>N</vt:lpwstr>
  </property>
  <property fmtid="{D5CDD505-2E9C-101B-9397-08002B2CF9AE}" pid="3" name="EMEADocTypeCode">
    <vt:lpwstr>tran</vt:lpwstr>
  </property>
  <property fmtid="{D5CDD505-2E9C-101B-9397-08002B2CF9AE}" pid="4" name="EMEADocRefFull">
    <vt:lpwstr>EMEA/18389/02/en</vt:lpwstr>
  </property>
  <property fmtid="{D5CDD505-2E9C-101B-9397-08002B2CF9AE}" pid="5" name="EMEADocRefPart0">
    <vt:lpwstr>EMEA</vt:lpwstr>
  </property>
  <property fmtid="{D5CDD505-2E9C-101B-9397-08002B2CF9AE}" pid="6" name="EMEADocRefNum">
    <vt:lpwstr>18389</vt:lpwstr>
  </property>
  <property fmtid="{D5CDD505-2E9C-101B-9397-08002B2CF9AE}" pid="7" name="EMEADocRefYear">
    <vt:lpwstr>02</vt:lpwstr>
  </property>
  <property fmtid="{D5CDD505-2E9C-101B-9397-08002B2CF9AE}" pid="8" name="EMEADocRefRoot">
    <vt:lpwstr>EMEA/18389/02</vt:lpwstr>
  </property>
  <property fmtid="{D5CDD505-2E9C-101B-9397-08002B2CF9AE}" pid="9" name="EMEADocLanguage">
    <vt:lpwstr>en</vt:lpwstr>
  </property>
  <property fmtid="{D5CDD505-2E9C-101B-9397-08002B2CF9AE}" pid="10" name="EMEADocDateDay">
    <vt:lpwstr>23</vt:lpwstr>
  </property>
  <property fmtid="{D5CDD505-2E9C-101B-9397-08002B2CF9AE}" pid="11" name="EMEADocDateMonth">
    <vt:lpwstr>July</vt:lpwstr>
  </property>
  <property fmtid="{D5CDD505-2E9C-101B-9397-08002B2CF9AE}" pid="12" name="EMEADocDateYear">
    <vt:lpwstr>2002</vt:lpwstr>
  </property>
  <property fmtid="{D5CDD505-2E9C-101B-9397-08002B2CF9AE}" pid="13" name="EMEADocDate">
    <vt:lpwstr>20020723</vt:lpwstr>
  </property>
  <property fmtid="{D5CDD505-2E9C-101B-9397-08002B2CF9AE}" pid="14" name="EMEADocTitle">
    <vt:lpwstr> SPC veterinary template</vt:lpwstr>
  </property>
  <property fmtid="{D5CDD505-2E9C-101B-9397-08002B2CF9AE}" pid="15" name="EMEADocExtCatTitle">
    <vt:lpwstr>The Title will not be included in the External Catalogue.</vt:lpwstr>
  </property>
  <property fmtid="{D5CDD505-2E9C-101B-9397-08002B2CF9AE}" pid="16" name="DM_Subject">
    <vt:lpwstr>General-EMEA/385409/2006</vt:lpwstr>
  </property>
  <property fmtid="{D5CDD505-2E9C-101B-9397-08002B2CF9AE}" pid="17" name="DM_Name">
    <vt:lpwstr>V01a EN SPC-II-lab-pl v 7.1</vt:lpwstr>
  </property>
  <property fmtid="{D5CDD505-2E9C-101B-9397-08002B2CF9AE}" pid="18" name="DM_Owner">
    <vt:lpwstr>Holemarova Zuzana</vt:lpwstr>
  </property>
  <property fmtid="{D5CDD505-2E9C-101B-9397-08002B2CF9AE}" pid="19" name="DM_Creation_Date">
    <vt:lpwstr>12/10/2006 10:35:33</vt:lpwstr>
  </property>
  <property fmtid="{D5CDD505-2E9C-101B-9397-08002B2CF9AE}" pid="20" name="DM_Creator_Name">
    <vt:lpwstr>Holemarova Zuzana</vt:lpwstr>
  </property>
  <property fmtid="{D5CDD505-2E9C-101B-9397-08002B2CF9AE}" pid="21" name="DM_Modifer_Name">
    <vt:lpwstr>Holemarova Zuzana</vt:lpwstr>
  </property>
  <property fmtid="{D5CDD505-2E9C-101B-9397-08002B2CF9AE}" pid="22" name="DM_Modified_Date">
    <vt:lpwstr>12/10/2006 10:35:33</vt:lpwstr>
  </property>
  <property fmtid="{D5CDD505-2E9C-101B-9397-08002B2CF9AE}" pid="23" name="DM_Type">
    <vt:lpwstr>emea_document</vt:lpwstr>
  </property>
  <property fmtid="{D5CDD505-2E9C-101B-9397-08002B2CF9AE}" pid="24" name="DM_Version">
    <vt:lpwstr>0.2, CURRENT</vt:lpwstr>
  </property>
  <property fmtid="{D5CDD505-2E9C-101B-9397-08002B2CF9AE}" pid="25" name="DM_emea_doc_ref_id">
    <vt:lpwstr>EMEA/385409/2006</vt:lpwstr>
  </property>
  <property fmtid="{D5CDD505-2E9C-101B-9397-08002B2CF9AE}" pid="26" name="DM_emea_doc_number">
    <vt:lpwstr>385409</vt:lpwstr>
  </property>
  <property fmtid="{D5CDD505-2E9C-101B-9397-08002B2CF9AE}" pid="27" name="DM_emea_received_date">
    <vt:lpwstr>nulldate</vt:lpwstr>
  </property>
  <property fmtid="{D5CDD505-2E9C-101B-9397-08002B2CF9AE}" pid="28" name="DM_emea_doc_category">
    <vt:lpwstr>General</vt:lpwstr>
  </property>
  <property fmtid="{D5CDD505-2E9C-101B-9397-08002B2CF9AE}" pid="29" name="DM_emea_internal_label">
    <vt:lpwstr>EMEA</vt:lpwstr>
  </property>
  <property fmtid="{D5CDD505-2E9C-101B-9397-08002B2CF9AE}" pid="30" name="DM_emea_legal_date">
    <vt:lpwstr>nulldate</vt:lpwstr>
  </property>
  <property fmtid="{D5CDD505-2E9C-101B-9397-08002B2CF9AE}" pid="31" name="DM_emea_year">
    <vt:lpwstr>2006</vt:lpwstr>
  </property>
  <property fmtid="{D5CDD505-2E9C-101B-9397-08002B2CF9AE}" pid="32" name="DM_emea_sent_date">
    <vt:lpwstr>nulldate</vt:lpwstr>
  </property>
</Properties>
</file>