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FC971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1F9FBC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3FC52A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7BBC3F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F16426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9BE689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E802C9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BFE43C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A3BE85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D0BD60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FDC32C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354AC6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8254F6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0242B4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C5A4FD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57878F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F81FFD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EFF8BD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263D9B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164011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A4C76E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83BF72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545540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57541E" w14:textId="77777777" w:rsidR="00752CE4" w:rsidRPr="00752CE4" w:rsidRDefault="00752CE4" w:rsidP="00752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>PŘÍBALOVÁ INFORMACE</w:t>
      </w:r>
    </w:p>
    <w:p w14:paraId="5F42AA89" w14:textId="77777777" w:rsidR="00752CE4" w:rsidRPr="00752CE4" w:rsidRDefault="00752CE4" w:rsidP="00752C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br w:type="page"/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PŘÍBALOVÁ INFORMACE</w:t>
      </w:r>
    </w:p>
    <w:p w14:paraId="1B9526FC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054386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FC4B71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1.</w:t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Název veterinárního léčivého přípravku</w:t>
      </w:r>
    </w:p>
    <w:p w14:paraId="21E6E6C6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3000AA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AviPro THYMOVAC</w:t>
      </w:r>
    </w:p>
    <w:p w14:paraId="76963F37" w14:textId="52DB0693" w:rsidR="00752CE4" w:rsidRPr="00752CE4" w:rsidRDefault="00752CE4" w:rsidP="00D2717E">
      <w:pPr>
        <w:tabs>
          <w:tab w:val="left" w:pos="567"/>
          <w:tab w:val="left" w:pos="3735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>Lyofilizát</w:t>
      </w:r>
      <w:proofErr w:type="spellEnd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> pro podání v pitné vodě</w:t>
      </w:r>
    </w:p>
    <w:p w14:paraId="7D04096D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EAA2E5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77EE41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2.</w:t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Složení</w:t>
      </w:r>
    </w:p>
    <w:p w14:paraId="55FBFCE4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F21A965" w14:textId="6721990C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Každá dávka obsahuje:</w:t>
      </w:r>
    </w:p>
    <w:p w14:paraId="096C571E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</w:pPr>
    </w:p>
    <w:p w14:paraId="1C56E20F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:szCs w:val="20"/>
          <w14:ligatures w14:val="none"/>
        </w:rPr>
        <w:t>Léčivá</w:t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látka:</w:t>
      </w:r>
    </w:p>
    <w:p w14:paraId="4C2B09DA" w14:textId="1755D752" w:rsidR="00752CE4" w:rsidRPr="00752CE4" w:rsidRDefault="00752CE4" w:rsidP="00752CE4">
      <w:pPr>
        <w:tabs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Virus </w:t>
      </w:r>
      <w:proofErr w:type="spellStart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>anemiae</w:t>
      </w:r>
      <w:proofErr w:type="spellEnd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>infectiosae</w:t>
      </w:r>
      <w:proofErr w:type="spellEnd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>gallinarum</w:t>
      </w:r>
      <w:proofErr w:type="spellEnd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>, kmen Cux-1</w:t>
      </w:r>
      <w:r w:rsidR="00FA2B42">
        <w:rPr>
          <w:rFonts w:ascii="Times New Roman" w:eastAsia="Times New Roman" w:hAnsi="Times New Roman" w:cs="Times New Roman"/>
          <w:kern w:val="0"/>
          <w14:ligatures w14:val="none"/>
        </w:rPr>
        <w:t>, živý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: 10</w:t>
      </w:r>
      <w:r w:rsidRPr="00752CE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4.</w:t>
      </w:r>
      <w:proofErr w:type="gramStart"/>
      <w:r w:rsidRPr="00752CE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5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 - 10</w:t>
      </w:r>
      <w:r w:rsidRPr="00752CE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5</w:t>
      </w:r>
      <w:proofErr w:type="gramEnd"/>
      <w:r w:rsidRPr="00752CE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.5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 TCID</w:t>
      </w:r>
      <w:r w:rsidRPr="00752CE4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>50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*</w:t>
      </w:r>
    </w:p>
    <w:p w14:paraId="2A25D713" w14:textId="77777777" w:rsidR="00752CE4" w:rsidRPr="00752CE4" w:rsidRDefault="00752CE4" w:rsidP="00752CE4">
      <w:pPr>
        <w:tabs>
          <w:tab w:val="left" w:pos="567"/>
          <w:tab w:val="left" w:pos="1701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*TCID</w:t>
      </w:r>
      <w:r w:rsidRPr="00752CE4">
        <w:rPr>
          <w:rFonts w:ascii="Times New Roman" w:eastAsia="Times New Roman" w:hAnsi="Times New Roman" w:cs="Times New Roman"/>
          <w:kern w:val="0"/>
          <w:vertAlign w:val="subscript"/>
          <w14:ligatures w14:val="none"/>
        </w:rPr>
        <w:t>50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 = 50 % infekční dávka pro tkáňové kultury: titr viru potřebný k vyvolání infekce u 50 % inokulovaných buněčných kultur.</w:t>
      </w:r>
    </w:p>
    <w:p w14:paraId="313BCBEB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0AB90E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lang w:val="sk-SK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Vzhled: </w:t>
      </w:r>
      <w:r w:rsidRPr="00752CE4">
        <w:rPr>
          <w:rFonts w:ascii="Times New Roman" w:eastAsia="Times New Roman" w:hAnsi="Times New Roman" w:cs="Times New Roman"/>
          <w:kern w:val="0"/>
          <w:lang w:val="sk-SK"/>
          <w14:ligatures w14:val="none"/>
        </w:rPr>
        <w:t>červen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ý</w:t>
      </w:r>
      <w:r w:rsidRPr="00752CE4">
        <w:rPr>
          <w:rFonts w:ascii="Times New Roman" w:eastAsia="Times New Roman" w:hAnsi="Times New Roman" w:cs="Times New Roman"/>
          <w:kern w:val="0"/>
          <w:lang w:val="sk-SK"/>
          <w14:ligatures w14:val="none"/>
        </w:rPr>
        <w:t xml:space="preserve"> až hn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ě</w:t>
      </w:r>
      <w:r w:rsidRPr="00752CE4">
        <w:rPr>
          <w:rFonts w:ascii="Times New Roman" w:eastAsia="Times New Roman" w:hAnsi="Times New Roman" w:cs="Times New Roman"/>
          <w:kern w:val="0"/>
          <w:lang w:val="sk-SK"/>
          <w14:ligatures w14:val="none"/>
        </w:rPr>
        <w:t>d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ý ly</w:t>
      </w:r>
      <w:r w:rsidRPr="00752CE4">
        <w:rPr>
          <w:rFonts w:ascii="Times New Roman" w:eastAsia="Times New Roman" w:hAnsi="Times New Roman" w:cs="Times New Roman"/>
          <w:kern w:val="0"/>
          <w:lang w:val="sk-SK"/>
          <w14:ligatures w14:val="none"/>
        </w:rPr>
        <w:t>ofilizát.</w:t>
      </w:r>
    </w:p>
    <w:p w14:paraId="5C6A4140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7356150E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72AE00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3.</w:t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Cílové druhy zvířat</w:t>
      </w:r>
    </w:p>
    <w:p w14:paraId="728A0FD6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8E7CC7" w14:textId="379806C6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Kur domácí</w:t>
      </w:r>
      <w:r w:rsidR="007B361A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655B7D5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7A428B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579202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4.</w:t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Indikace pro použití</w:t>
      </w:r>
    </w:p>
    <w:p w14:paraId="2C892374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21F2FB" w14:textId="77777777" w:rsidR="00752CE4" w:rsidRPr="00752CE4" w:rsidRDefault="00752CE4" w:rsidP="00752C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Ochrana vakcinovaných chovných </w:t>
      </w:r>
      <w:r w:rsidRPr="00D2717E">
        <w:rPr>
          <w:rFonts w:ascii="Times New Roman" w:eastAsia="Times New Roman" w:hAnsi="Times New Roman" w:cs="Times New Roman"/>
          <w:kern w:val="0"/>
          <w14:ligatures w14:val="none"/>
        </w:rPr>
        <w:t>ptáků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 od 8. týdne stáří proti exkreci viru anémie kuřat a přenosu viru do vajec.</w:t>
      </w:r>
    </w:p>
    <w:p w14:paraId="457358DB" w14:textId="235F9528" w:rsidR="00752CE4" w:rsidRPr="00752CE4" w:rsidRDefault="00752CE4" w:rsidP="00752C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U této aktivní imunizace:</w:t>
      </w:r>
    </w:p>
    <w:p w14:paraId="7524A2F2" w14:textId="24E9E059" w:rsidR="00752CE4" w:rsidRPr="00752CE4" w:rsidRDefault="00752CE4" w:rsidP="00752C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Nástup imunity: 4 týdny</w:t>
      </w:r>
      <w:r w:rsidR="00DA0AD6">
        <w:rPr>
          <w:rFonts w:ascii="Times New Roman" w:eastAsia="Times New Roman" w:hAnsi="Times New Roman" w:cs="Times New Roman"/>
          <w:kern w:val="0"/>
          <w14:ligatures w14:val="none"/>
        </w:rPr>
        <w:t xml:space="preserve"> po vakcinaci</w:t>
      </w:r>
    </w:p>
    <w:p w14:paraId="198C1281" w14:textId="796BF0B1" w:rsidR="00752CE4" w:rsidRPr="00752CE4" w:rsidRDefault="00752CE4" w:rsidP="00752C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Trvání imunity: 43 týdnů </w:t>
      </w:r>
      <w:bookmarkStart w:id="0" w:name="_Hlk166679526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po </w:t>
      </w:r>
      <w:r w:rsidR="00DA0AD6">
        <w:rPr>
          <w:rFonts w:ascii="Times New Roman" w:eastAsia="Times New Roman" w:hAnsi="Times New Roman" w:cs="Times New Roman"/>
          <w:kern w:val="0"/>
          <w14:ligatures w14:val="none"/>
        </w:rPr>
        <w:t>vakcinaci</w:t>
      </w:r>
      <w:bookmarkEnd w:id="0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, prokázáno </w:t>
      </w:r>
      <w:proofErr w:type="spellStart"/>
      <w:r w:rsidRPr="00D2717E">
        <w:rPr>
          <w:rFonts w:ascii="Times New Roman" w:eastAsia="Times New Roman" w:hAnsi="Times New Roman" w:cs="Times New Roman"/>
          <w:kern w:val="0"/>
          <w14:ligatures w14:val="none"/>
        </w:rPr>
        <w:t>čelenžní</w:t>
      </w:r>
      <w:proofErr w:type="spellEnd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A0AD6">
        <w:rPr>
          <w:rFonts w:ascii="Times New Roman" w:eastAsia="Times New Roman" w:hAnsi="Times New Roman" w:cs="Times New Roman"/>
          <w:kern w:val="0"/>
          <w14:ligatures w14:val="none"/>
        </w:rPr>
        <w:t>zkouškou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DAEAA9E" w14:textId="77777777" w:rsidR="00752CE4" w:rsidRPr="00752CE4" w:rsidRDefault="00752CE4" w:rsidP="00752C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14:ligatures w14:val="none"/>
        </w:rPr>
      </w:pPr>
    </w:p>
    <w:p w14:paraId="20D43B61" w14:textId="6CB99FBF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Pasivní ochrana určená potomstvu proti klinickým příznakům a poškozením v důsledku virové anémie kuřat. Ochrana potomstva je zaručena po dobu až 51 týdnů po vakcinaci chovných kuřat, přičemž jsou chráněna již jednodenní kuřata (jak prokázal</w:t>
      </w:r>
      <w:r w:rsidR="00DA0AD6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>čelenžní</w:t>
      </w:r>
      <w:proofErr w:type="spellEnd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A0AD6">
        <w:rPr>
          <w:rFonts w:ascii="Times New Roman" w:eastAsia="Times New Roman" w:hAnsi="Times New Roman" w:cs="Times New Roman"/>
          <w:kern w:val="0"/>
          <w14:ligatures w14:val="none"/>
        </w:rPr>
        <w:t>zkouška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2AAB5C48" w14:textId="77777777" w:rsidR="00752CE4" w:rsidRPr="00D2717E" w:rsidRDefault="00752CE4" w:rsidP="00D2717E">
      <w:pPr>
        <w:spacing w:after="0" w:line="240" w:lineRule="auto"/>
        <w:rPr>
          <w:rFonts w:ascii="Arial" w:eastAsia="SimSun" w:hAnsi="Arial" w:cs="Times New Roman"/>
          <w:snapToGrid w:val="0"/>
          <w:kern w:val="0"/>
          <w:sz w:val="24"/>
          <w:lang w:eastAsia="zh-CN"/>
          <w14:ligatures w14:val="none"/>
        </w:rPr>
      </w:pPr>
    </w:p>
    <w:p w14:paraId="0B000150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3F14A9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5.</w:t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Kontraindikace</w:t>
      </w:r>
    </w:p>
    <w:p w14:paraId="01084C86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0C128E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Nejsou.</w:t>
      </w:r>
    </w:p>
    <w:p w14:paraId="4830D9E1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23762A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78F28B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6.</w:t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upozornění</w:t>
      </w:r>
    </w:p>
    <w:p w14:paraId="16FD6456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FF06AB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upozornění</w:t>
      </w: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7FAF9646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Vakcinovat pouze zdravá zvířata.</w:t>
      </w:r>
    </w:p>
    <w:p w14:paraId="0E24F890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606CFA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bezpečné použití u cílových druhů zvířat</w:t>
      </w: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7D41834A" w14:textId="7617A1E1" w:rsidR="00752CE4" w:rsidRPr="00752CE4" w:rsidRDefault="00752CE4" w:rsidP="00752CE4">
      <w:pPr>
        <w:tabs>
          <w:tab w:val="left" w:pos="330"/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Vakcinace by se měla provést u ptáků ve stáří 8 týdnů a starších, ale nejpozději 6 týdnů před počátkem snášky, aby se zajistil vývoj ochranné imunity ještě před počátkem snáškového období.</w:t>
      </w:r>
    </w:p>
    <w:p w14:paraId="5556B13B" w14:textId="77777777" w:rsidR="00752CE4" w:rsidRPr="00752CE4" w:rsidRDefault="00752CE4" w:rsidP="00752CE4">
      <w:pPr>
        <w:tabs>
          <w:tab w:val="left" w:pos="330"/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DA0E4E" w14:textId="56B09E31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Vakcinační virus se může rozšířit na nevakcinovaná kuřata, protože jej vakcinovaná kuřata mohou minimálně 14 dní po vakcinaci vylučovat trusem. Protože virus může u velmi mladých kuřat vyvolat klinické příznaky, je nutno zabránit přenosu na nechráněné ptáky. Aby se zabránilo rozšíření vakcinačního kmene na nosnice, na ptáky chystající se k snášce a mladé ptáky do 3 týdnů života, je třeba přijmout zvláštní opatření. Vakcína by se neměla podávat v chovech, kde jsou zvířata různého věku.</w:t>
      </w:r>
    </w:p>
    <w:p w14:paraId="3D63B96D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CD6470" w14:textId="77777777" w:rsidR="00752CE4" w:rsidRPr="00752CE4" w:rsidRDefault="00752CE4" w:rsidP="00752CE4">
      <w:pPr>
        <w:numPr>
          <w:ilvl w:val="12"/>
          <w:numId w:val="0"/>
        </w:num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Před vakcinací, během vakcinace i po ní </w:t>
      </w:r>
      <w:bookmarkStart w:id="1" w:name="_Hlk165543617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>chraňte zvířata před stresem</w:t>
      </w:r>
      <w:bookmarkEnd w:id="1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392EE5D" w14:textId="2EFBAB4B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CF18CF" w14:textId="7E1AB1E3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Vakcinační virus lze detekovat v různých orgánech a tkáních v době od 7. do 49. dne od provedení vakcinace.</w:t>
      </w:r>
    </w:p>
    <w:p w14:paraId="61F7B1C9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6C5E22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Ke snížení infekčního tlaku před nástupem imunity je nutno odstranit stelivo a drůbežárnu je nutno vyčistit mezi jednotlivými zástavy drůbeže.</w:t>
      </w:r>
    </w:p>
    <w:p w14:paraId="3CACD755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CDBA56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u w:val="single"/>
          <w14:ligatures w14:val="none"/>
        </w:rPr>
        <w:t>Zvláštní opatření pro osobu, která podává veterinární léčivý přípravek zvířatům</w:t>
      </w: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687242A4" w14:textId="0D73B53F" w:rsidR="00752CE4" w:rsidRPr="00752CE4" w:rsidRDefault="00752CE4" w:rsidP="00752CE4">
      <w:pPr>
        <w:tabs>
          <w:tab w:val="left" w:pos="-1440"/>
          <w:tab w:val="left" w:pos="-720"/>
          <w:tab w:val="left" w:pos="0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Vakcína obsahuje živý virus. Při nakládání s veterinárním léčivým přípravkem by se měly používat osobní ochranné prostředky skládající se z rukavic, ochranných brýlí nebo ochranného štítu. Buďte opatrní, aby nedošlo k jakékoliv kontaminaci, např. postříkáním nebo únikem látky. Buďte opatrní také při manipulaci s drůbežími výkaly, protože vakcinační virus se může vylučovat výkaly po dobu nejméně 14 dní.</w:t>
      </w:r>
    </w:p>
    <w:p w14:paraId="02737FC6" w14:textId="77777777" w:rsidR="00752CE4" w:rsidRPr="00752CE4" w:rsidRDefault="00752CE4" w:rsidP="00752CE4">
      <w:pPr>
        <w:tabs>
          <w:tab w:val="left" w:pos="-1440"/>
          <w:tab w:val="left" w:pos="-720"/>
          <w:tab w:val="left" w:pos="0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042D5B" w14:textId="2D7FE422" w:rsid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Po použití důkladně umyjte a vydezinfikujte ruce a vybavení.</w:t>
      </w:r>
    </w:p>
    <w:p w14:paraId="1E5FC299" w14:textId="77777777" w:rsidR="00DF5993" w:rsidRPr="00752CE4" w:rsidRDefault="00DF5993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</w:p>
    <w:p w14:paraId="7C4CC197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u w:val="single"/>
          <w14:ligatures w14:val="none"/>
        </w:rPr>
        <w:t>Nosnice</w:t>
      </w: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27ABAD47" w14:textId="0130BD10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Nepoužívat u nosnic ve snášce a během 6 týdnů před počátkem snášky. </w:t>
      </w:r>
    </w:p>
    <w:p w14:paraId="0023342B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951203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u w:val="single"/>
          <w14:ligatures w14:val="none"/>
        </w:rPr>
        <w:t>Interakce s jinými léčivými přípravky a další formy interakce</w:t>
      </w: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2EE0E65E" w14:textId="01FC096D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Nejsou dostupné informace o bezpečnosti a účinnosti této vakcíny, pokud je podávána zároveň</w:t>
      </w:r>
      <w:r w:rsidR="00DF5993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4F26DE2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6E2063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u w:val="single"/>
          <w14:ligatures w14:val="none"/>
        </w:rPr>
        <w:t>Předávkování</w:t>
      </w: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12DD5307" w14:textId="45D1D2B3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Cs/>
          <w:kern w:val="0"/>
          <w:lang w:val="pl-PL"/>
          <w14:ligatures w14:val="none"/>
        </w:rPr>
        <w:t>Po podání desetinásobné dávky nebyly pozorovány žádné nežádoucí účinky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FC6FDF2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0914EB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u w:val="single"/>
          <w14:ligatures w14:val="none"/>
        </w:rPr>
        <w:t>Hlavní inkompatibility</w:t>
      </w: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p w14:paraId="17743358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Nemísit s jiným veterinárním léčivým přípravkem.</w:t>
      </w:r>
    </w:p>
    <w:p w14:paraId="5FE284BE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0B5BB2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C97A02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7.</w:t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Nežádoucí účinky</w:t>
      </w:r>
    </w:p>
    <w:p w14:paraId="325A5700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4EC85E49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Kur domácí:</w:t>
      </w:r>
    </w:p>
    <w:p w14:paraId="77D5F4B4" w14:textId="1BEF0162" w:rsidR="00752CE4" w:rsidRPr="00752CE4" w:rsidRDefault="000E2DF1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Nejsou známy.</w:t>
      </w:r>
    </w:p>
    <w:p w14:paraId="66198397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7BDA2EC3" w14:textId="5E48BDCF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981D83">
        <w:rPr>
          <w:rFonts w:ascii="Times New Roman" w:eastAsia="Times New Roman" w:hAnsi="Times New Roman" w:cs="Times New Roman"/>
          <w:kern w:val="0"/>
          <w:szCs w:val="20"/>
          <w14:ligatures w14:val="none"/>
        </w:rPr>
        <w:t>i</w:t>
      </w: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rozhodnutí o registraci s využitím kontaktních údajů uvedených v této příbalové informaci nebo prostřednictvím národního systému hlášení nežádoucích účinků: </w:t>
      </w:r>
    </w:p>
    <w:p w14:paraId="7C40F927" w14:textId="77777777" w:rsidR="00752CE4" w:rsidRPr="00752CE4" w:rsidRDefault="00752CE4" w:rsidP="00752CE4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noProof/>
          <w:kern w:val="0"/>
          <w14:ligatures w14:val="none"/>
        </w:rPr>
      </w:pPr>
    </w:p>
    <w:p w14:paraId="63A3595B" w14:textId="77777777" w:rsidR="00752CE4" w:rsidRPr="00752CE4" w:rsidRDefault="00752CE4" w:rsidP="00752CE4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Ústav pro státní kontrolu veterinárních biopreparátů a léčiv </w:t>
      </w:r>
    </w:p>
    <w:p w14:paraId="0CA7F292" w14:textId="29D362D4" w:rsidR="00752CE4" w:rsidRPr="00752CE4" w:rsidRDefault="00752CE4" w:rsidP="00752CE4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Hudcova </w:t>
      </w:r>
      <w:r w:rsidR="00C72C97">
        <w:rPr>
          <w:rFonts w:ascii="Times New Roman" w:eastAsia="Times New Roman" w:hAnsi="Times New Roman" w:cs="Times New Roman"/>
          <w:kern w:val="0"/>
          <w14:ligatures w14:val="none"/>
        </w:rPr>
        <w:t>232/</w:t>
      </w:r>
      <w:proofErr w:type="gramStart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>56a</w:t>
      </w:r>
      <w:proofErr w:type="gramEnd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2117DD8" w14:textId="77777777" w:rsidR="00752CE4" w:rsidRPr="00752CE4" w:rsidRDefault="00752CE4" w:rsidP="00752CE4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621 00 Brno</w:t>
      </w:r>
    </w:p>
    <w:p w14:paraId="141580CB" w14:textId="77777777" w:rsidR="00752CE4" w:rsidRPr="00752CE4" w:rsidRDefault="00752CE4" w:rsidP="00752CE4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Mail: </w:t>
      </w:r>
      <w:hyperlink r:id="rId8" w:history="1">
        <w:r w:rsidRPr="00752CE4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adr@uskvbl.cz</w:t>
        </w:r>
      </w:hyperlink>
    </w:p>
    <w:p w14:paraId="17FA9D80" w14:textId="77777777" w:rsidR="00752CE4" w:rsidRPr="00752CE4" w:rsidRDefault="00752CE4" w:rsidP="00752CE4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Webové stránky: </w:t>
      </w:r>
      <w:hyperlink r:id="rId9" w:history="1">
        <w:r w:rsidRPr="00752CE4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http://www.uskvbl.cz/cs/farmakovigilance</w:t>
        </w:r>
      </w:hyperlink>
    </w:p>
    <w:p w14:paraId="0479025B" w14:textId="77777777" w:rsidR="00752CE4" w:rsidRPr="00752CE4" w:rsidRDefault="00752CE4" w:rsidP="00752CE4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noProof/>
          <w:kern w:val="0"/>
          <w14:ligatures w14:val="none"/>
        </w:rPr>
      </w:pPr>
    </w:p>
    <w:p w14:paraId="315C2225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696AB0D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8.</w:t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Dávkování pro každý druh, cesty a způsob podání</w:t>
      </w:r>
    </w:p>
    <w:p w14:paraId="4D2CE1BF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DD35ED" w14:textId="1D8CE63C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Pro podání v pitné vodě po rekonstituci.</w:t>
      </w:r>
    </w:p>
    <w:p w14:paraId="3A6AA143" w14:textId="683538A4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Každý pták by měl dostat jednu dávku.</w:t>
      </w:r>
    </w:p>
    <w:p w14:paraId="6C7B8C92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CCB513" w14:textId="6EFDD240" w:rsidR="00752CE4" w:rsidRPr="00752CE4" w:rsidRDefault="00752CE4" w:rsidP="00752CE4">
      <w:pPr>
        <w:tabs>
          <w:tab w:val="left" w:pos="567"/>
        </w:tabs>
        <w:spacing w:after="0" w:line="240" w:lineRule="auto"/>
        <w:rPr>
          <w:rFonts w:ascii="Times New Roman" w:eastAsia="SimSun" w:hAnsi="Times New Roman" w:cs="Times New Roman"/>
          <w:snapToGrid w:val="0"/>
          <w:kern w:val="0"/>
          <w:lang w:val="pt-BR" w:eastAsia="zh-CN"/>
          <w14:ligatures w14:val="none"/>
        </w:rPr>
      </w:pP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Dávkování a podání:</w:t>
      </w:r>
    </w:p>
    <w:p w14:paraId="7A4B7370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u w:val="single"/>
          <w:lang w:val="pt-BR"/>
          <w14:ligatures w14:val="none"/>
        </w:rPr>
      </w:pPr>
    </w:p>
    <w:p w14:paraId="3B989237" w14:textId="5A823884" w:rsidR="00752CE4" w:rsidRPr="00752CE4" w:rsidRDefault="00DA0AD6" w:rsidP="00752CE4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kern w:val="0"/>
          <w:u w:val="single"/>
          <w:lang w:val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14:ligatures w14:val="none"/>
        </w:rPr>
        <w:t>Podání</w:t>
      </w:r>
      <w:r w:rsidR="00752CE4" w:rsidRPr="00752CE4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v pitné vodě:</w:t>
      </w:r>
    </w:p>
    <w:p w14:paraId="672E0BA3" w14:textId="77777777" w:rsidR="00752CE4" w:rsidRPr="00752CE4" w:rsidRDefault="00752CE4" w:rsidP="00752CE4">
      <w:pPr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</w:pP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Stanovte počet vakcinačních dávek a potřebné množství vody (viz níže).</w:t>
      </w:r>
      <w:r w:rsidRPr="00752CE4">
        <w:rPr>
          <w:rFonts w:ascii="Times New Roman" w:eastAsia="SimSun" w:hAnsi="Times New Roman" w:cs="Times New Roman"/>
          <w:snapToGrid w:val="0"/>
          <w:kern w:val="0"/>
          <w:lang w:val="pt-BR" w:eastAsia="zh-CN"/>
          <w14:ligatures w14:val="none"/>
        </w:rPr>
        <w:t xml:space="preserve"> </w:t>
      </w: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Celý obsah injekčních lahviček s vakcínou je třeba použít pouze pro jedno hejno nebo systém pitné vody. Rozdělení vakcíny může vést k chybám dávkování.</w:t>
      </w:r>
    </w:p>
    <w:p w14:paraId="3C48B51F" w14:textId="77777777" w:rsidR="00752CE4" w:rsidRPr="00752CE4" w:rsidRDefault="00752CE4" w:rsidP="00D2717E">
      <w:pPr>
        <w:spacing w:after="0" w:line="240" w:lineRule="auto"/>
        <w:ind w:left="360"/>
        <w:rPr>
          <w:rFonts w:ascii="Times New Roman" w:eastAsia="SimSun" w:hAnsi="Times New Roman" w:cs="Times New Roman"/>
          <w:snapToGrid w:val="0"/>
          <w:kern w:val="0"/>
          <w:lang w:val="pt-BR" w:eastAsia="zh-CN"/>
          <w14:ligatures w14:val="none"/>
        </w:rPr>
      </w:pPr>
    </w:p>
    <w:p w14:paraId="4C5938C2" w14:textId="77777777" w:rsidR="00752CE4" w:rsidRPr="00752CE4" w:rsidRDefault="00752CE4" w:rsidP="00752CE4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eastAsia="SimSun" w:hAnsi="Times New Roman" w:cs="Times New Roman"/>
          <w:snapToGrid w:val="0"/>
          <w:kern w:val="0"/>
          <w:lang w:val="pt-BR" w:eastAsia="zh-CN"/>
          <w14:ligatures w14:val="none"/>
        </w:rPr>
      </w:pP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Zajistěte, aby pitná voda a veškerá zařízení, jako je potrubí, hadice, žlaby, napáječky atd. byla důkladně očištěna a zbavena jakýchkoliv zbytků dezinfekčních prostředků, detergentů atd.</w:t>
      </w:r>
      <w:r w:rsidRPr="00752CE4">
        <w:rPr>
          <w:rFonts w:ascii="Times New Roman" w:eastAsia="SimSun" w:hAnsi="Times New Roman" w:cs="Times New Roman"/>
          <w:snapToGrid w:val="0"/>
          <w:kern w:val="0"/>
          <w:lang w:val="pt-BR" w:eastAsia="zh-CN"/>
          <w14:ligatures w14:val="none"/>
        </w:rPr>
        <w:br/>
      </w:r>
    </w:p>
    <w:p w14:paraId="15E343CB" w14:textId="27A68CE9" w:rsidR="00752CE4" w:rsidRPr="00752CE4" w:rsidRDefault="00752CE4" w:rsidP="00752CE4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eastAsia="SimSun" w:hAnsi="Times New Roman" w:cs="Times New Roman"/>
          <w:snapToGrid w:val="0"/>
          <w:kern w:val="0"/>
          <w:lang w:val="pt-BR" w:eastAsia="zh-CN"/>
          <w14:ligatures w14:val="none"/>
        </w:rPr>
      </w:pP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Je třeba použít pouze chladnou a čistou vodu, nejlépe bez obsahu chloru a kovových iontů.</w:t>
      </w:r>
      <w:r w:rsidRPr="00752CE4">
        <w:rPr>
          <w:rFonts w:ascii="Times New Roman" w:eastAsia="SimSun" w:hAnsi="Times New Roman" w:cs="Times New Roman"/>
          <w:snapToGrid w:val="0"/>
          <w:kern w:val="0"/>
          <w:lang w:val="pt-BR" w:eastAsia="zh-CN"/>
          <w14:ligatures w14:val="none"/>
        </w:rPr>
        <w:t xml:space="preserve"> </w:t>
      </w: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Do vody lze přidat sušené nízkotučné (t.j. &lt; 1 % tuku) odstředěné mléko (2 – 4 gramů na litr vody) nebo odstředěné mléko (20 – 40 ml na litr vody) ke zkvalitnění vody a zvýšení stability viru.</w:t>
      </w:r>
      <w:r w:rsidRPr="00752CE4">
        <w:rPr>
          <w:rFonts w:ascii="Times New Roman" w:eastAsia="SimSun" w:hAnsi="Times New Roman" w:cs="Times New Roman"/>
          <w:snapToGrid w:val="0"/>
          <w:kern w:val="0"/>
          <w:lang w:val="pt-BR" w:eastAsia="zh-CN"/>
          <w14:ligatures w14:val="none"/>
        </w:rPr>
        <w:t xml:space="preserve"> </w:t>
      </w: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To je však nutno provést nejméně 10 minut před rekonstitucí vakcíny.</w:t>
      </w:r>
      <w:r w:rsidRPr="00752CE4">
        <w:rPr>
          <w:rFonts w:ascii="Times New Roman" w:eastAsia="SimSun" w:hAnsi="Times New Roman" w:cs="Times New Roman"/>
          <w:snapToGrid w:val="0"/>
          <w:kern w:val="0"/>
          <w:lang w:val="pt-BR" w:eastAsia="zh-CN"/>
          <w14:ligatures w14:val="none"/>
        </w:rPr>
        <w:br/>
      </w:r>
    </w:p>
    <w:p w14:paraId="4AAC8A01" w14:textId="33C3D9F3" w:rsidR="00752CE4" w:rsidRPr="00752CE4" w:rsidRDefault="00752CE4" w:rsidP="00752CE4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eastAsia="SimSun" w:hAnsi="Times New Roman" w:cs="Times New Roman"/>
          <w:snapToGrid w:val="0"/>
          <w:kern w:val="0"/>
          <w:lang w:val="pt-BR" w:eastAsia="zh-CN"/>
          <w14:ligatures w14:val="none"/>
        </w:rPr>
      </w:pP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 xml:space="preserve">Uzávěr injekční lahvičky s vakcínou otevřete pod vodou a obsah důkladně </w:t>
      </w:r>
      <w:r w:rsidR="007B361A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rekonstituujte</w:t>
      </w: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.</w:t>
      </w:r>
      <w:r w:rsidRPr="00752CE4">
        <w:rPr>
          <w:rFonts w:ascii="Times New Roman" w:eastAsia="SimSun" w:hAnsi="Times New Roman" w:cs="Times New Roman"/>
          <w:snapToGrid w:val="0"/>
          <w:kern w:val="0"/>
          <w:lang w:val="pt-BR" w:eastAsia="zh-CN"/>
          <w14:ligatures w14:val="none"/>
        </w:rPr>
        <w:t xml:space="preserve"> </w:t>
      </w: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Injekční lahvičku i její uzávěr je nutno opatrně zcela vyprázdnit a propláchnout je vodou.</w:t>
      </w:r>
      <w:r w:rsidRPr="00752CE4">
        <w:rPr>
          <w:rFonts w:ascii="Times New Roman" w:eastAsia="SimSun" w:hAnsi="Times New Roman" w:cs="Times New Roman"/>
          <w:snapToGrid w:val="0"/>
          <w:kern w:val="0"/>
          <w:lang w:val="pt-BR" w:eastAsia="zh-CN"/>
          <w14:ligatures w14:val="none"/>
        </w:rPr>
        <w:br/>
      </w:r>
    </w:p>
    <w:p w14:paraId="5837183C" w14:textId="44B1B836" w:rsidR="00752CE4" w:rsidRPr="00752CE4" w:rsidRDefault="00752CE4" w:rsidP="00752CE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lang w:val="pt-BR" w:eastAsia="zh-CN"/>
          <w14:ligatures w14:val="none"/>
        </w:rPr>
      </w:pP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Voda přítomná v napájecím systému se musí spotřebovat, aby jí před vakcinací v napáječkách zůstalo jen minimum.</w:t>
      </w:r>
      <w:r w:rsidRPr="00752CE4">
        <w:rPr>
          <w:rFonts w:ascii="Times New Roman" w:eastAsia="SimSun" w:hAnsi="Times New Roman" w:cs="Times New Roman"/>
          <w:snapToGrid w:val="0"/>
          <w:kern w:val="0"/>
          <w:lang w:val="pt-BR" w:eastAsia="zh-CN"/>
          <w14:ligatures w14:val="none"/>
        </w:rPr>
        <w:t xml:space="preserve"> </w:t>
      </w: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Veškeré potrubí je nutno vypustit, aby napáječky obsahovaly pouze vodu s vakcínou.</w:t>
      </w:r>
      <w:r w:rsidRPr="00752CE4">
        <w:rPr>
          <w:rFonts w:ascii="Times New Roman" w:eastAsia="SimSun" w:hAnsi="Times New Roman" w:cs="Times New Roman"/>
          <w:snapToGrid w:val="0"/>
          <w:kern w:val="0"/>
          <w:lang w:val="pt-BR" w:eastAsia="zh-CN"/>
          <w14:ligatures w14:val="none"/>
        </w:rPr>
        <w:t xml:space="preserve"> </w:t>
      </w: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 xml:space="preserve">Je-li voda stále přítomna, proveďte před </w:t>
      </w:r>
      <w:r w:rsidR="00DA0AD6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podáním</w:t>
      </w:r>
      <w:r w:rsidR="00DA0AD6"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 xml:space="preserve"> </w:t>
      </w: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 xml:space="preserve">vakcíny </w:t>
      </w:r>
      <w:r w:rsidR="007B361A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její vypuštění</w:t>
      </w: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.</w:t>
      </w:r>
    </w:p>
    <w:p w14:paraId="54A9A7C3" w14:textId="77777777" w:rsidR="00752CE4" w:rsidRPr="00752CE4" w:rsidRDefault="00752CE4" w:rsidP="00752CE4">
      <w:pPr>
        <w:spacing w:after="0" w:line="240" w:lineRule="auto"/>
        <w:ind w:left="360"/>
        <w:rPr>
          <w:rFonts w:ascii="Times New Roman" w:eastAsia="SimSun" w:hAnsi="Times New Roman" w:cs="Times New Roman"/>
          <w:snapToGrid w:val="0"/>
          <w:kern w:val="0"/>
          <w:lang w:val="pt-BR" w:eastAsia="zh-CN"/>
          <w14:ligatures w14:val="none"/>
        </w:rPr>
      </w:pPr>
    </w:p>
    <w:p w14:paraId="0B95C83F" w14:textId="14447664" w:rsidR="00752CE4" w:rsidRPr="00752CE4" w:rsidRDefault="00752CE4" w:rsidP="00752CE4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</w:pP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Aplikujte vakcínu v průběhu (max.) 2 hodin, přičemž je nutno zajistit, aby všichni ptáci v době vakcinace pili. Vzhledem k tomu, že se pitný režim ptáků stále mění, může se stát, že bude nutné vodu na některých místech před vakcinací zastavit, aby se zajistilo, že všichni ptáci budou v době vakcinace pít.</w:t>
      </w:r>
    </w:p>
    <w:p w14:paraId="0C2FDBA7" w14:textId="77777777" w:rsidR="00752CE4" w:rsidRPr="00752CE4" w:rsidRDefault="00752CE4" w:rsidP="00752CE4">
      <w:pPr>
        <w:spacing w:after="0" w:line="240" w:lineRule="auto"/>
        <w:ind w:left="360"/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</w:pPr>
    </w:p>
    <w:p w14:paraId="230A4314" w14:textId="217E9ED1" w:rsidR="00752CE4" w:rsidRPr="00752CE4" w:rsidRDefault="00752CE4" w:rsidP="00752CE4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eastAsia="SimSun" w:hAnsi="Times New Roman" w:cs="Times New Roman"/>
          <w:snapToGrid w:val="0"/>
          <w:kern w:val="0"/>
          <w:lang w:val="pl-PL" w:eastAsia="zh-CN"/>
          <w14:ligatures w14:val="none"/>
        </w:rPr>
      </w:pP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Ptákům by se měla podat jedna vakcinace v jedné dávce.</w:t>
      </w:r>
      <w:r w:rsidRPr="00752CE4">
        <w:rPr>
          <w:rFonts w:ascii="Times New Roman" w:eastAsia="SimSun" w:hAnsi="Times New Roman" w:cs="Times New Roman"/>
          <w:snapToGrid w:val="0"/>
          <w:kern w:val="0"/>
          <w:lang w:val="pl-PL" w:eastAsia="zh-CN"/>
          <w14:ligatures w14:val="none"/>
        </w:rPr>
        <w:br/>
      </w:r>
    </w:p>
    <w:p w14:paraId="5BBC0C96" w14:textId="255410FA" w:rsidR="00752CE4" w:rsidRPr="00752CE4" w:rsidRDefault="00752CE4" w:rsidP="00752CE4">
      <w:pPr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eastAsia="SimSun" w:hAnsi="Times New Roman" w:cs="Times New Roman"/>
          <w:snapToGrid w:val="0"/>
          <w:kern w:val="0"/>
          <w:lang w:val="pl-PL" w:eastAsia="zh-CN"/>
          <w14:ligatures w14:val="none"/>
        </w:rPr>
      </w:pP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V ideálním případě by se vakcína měla podat v množství vody spotřebované ptáky v průběhu 2 hodin.</w:t>
      </w:r>
      <w:r w:rsidRPr="00752CE4">
        <w:rPr>
          <w:rFonts w:ascii="Times New Roman" w:eastAsia="SimSun" w:hAnsi="Times New Roman" w:cs="Times New Roman"/>
          <w:snapToGrid w:val="0"/>
          <w:kern w:val="0"/>
          <w:lang w:val="pl-PL" w:eastAsia="zh-CN"/>
          <w14:ligatures w14:val="none"/>
        </w:rPr>
        <w:t xml:space="preserve"> </w:t>
      </w: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 xml:space="preserve">Naředěnou vakcínu přidejte do chladné a čerstvé vody v poměru 1000 dávek vakcíny na 20 </w:t>
      </w:r>
      <w:proofErr w:type="gramStart"/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-  40</w:t>
      </w:r>
      <w:proofErr w:type="gramEnd"/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 xml:space="preserve"> litrů vody pro 1000 kuřat.</w:t>
      </w:r>
      <w:r w:rsidRPr="00752CE4">
        <w:rPr>
          <w:rFonts w:ascii="Times New Roman" w:eastAsia="SimSun" w:hAnsi="Times New Roman" w:cs="Times New Roman"/>
          <w:snapToGrid w:val="0"/>
          <w:kern w:val="0"/>
          <w:lang w:val="pl-PL" w:eastAsia="zh-CN"/>
          <w14:ligatures w14:val="none"/>
        </w:rPr>
        <w:t xml:space="preserve"> </w:t>
      </w: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V případě pochybností je zapotřebí stanovit příjem vody den před vakcinací.</w:t>
      </w:r>
      <w:r w:rsidRPr="00752CE4">
        <w:rPr>
          <w:rFonts w:ascii="Times New Roman" w:eastAsia="SimSun" w:hAnsi="Times New Roman" w:cs="Times New Roman"/>
          <w:snapToGrid w:val="0"/>
          <w:kern w:val="0"/>
          <w:lang w:val="pl-PL" w:eastAsia="zh-CN"/>
          <w14:ligatures w14:val="none"/>
        </w:rPr>
        <w:br/>
      </w: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- Podejte vakcínu ptákům okamžitě po rekonstituci.</w:t>
      </w:r>
      <w:r w:rsidRPr="00752CE4">
        <w:rPr>
          <w:rFonts w:ascii="Times New Roman" w:eastAsia="SimSun" w:hAnsi="Times New Roman" w:cs="Times New Roman"/>
          <w:snapToGrid w:val="0"/>
          <w:kern w:val="0"/>
          <w:lang w:val="pl-PL" w:eastAsia="zh-CN"/>
          <w14:ligatures w14:val="none"/>
        </w:rPr>
        <w:br/>
      </w:r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 xml:space="preserve">- Zajistěte, aby ptáci neměli během vakcinace přístup k </w:t>
      </w:r>
      <w:proofErr w:type="spellStart"/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>nemedikované</w:t>
      </w:r>
      <w:proofErr w:type="spellEnd"/>
      <w:r w:rsidRPr="00752CE4"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  <w:t xml:space="preserve"> vodě.</w:t>
      </w:r>
      <w:r w:rsidRPr="00752CE4">
        <w:rPr>
          <w:rFonts w:ascii="Times New Roman" w:eastAsia="SimSun" w:hAnsi="Times New Roman" w:cs="Times New Roman"/>
          <w:snapToGrid w:val="0"/>
          <w:kern w:val="0"/>
          <w:lang w:val="pl-PL" w:eastAsia="zh-CN"/>
          <w14:ligatures w14:val="none"/>
        </w:rPr>
        <w:br/>
      </w:r>
    </w:p>
    <w:p w14:paraId="583BCAC8" w14:textId="70FDEAB8" w:rsidR="00752CE4" w:rsidRPr="00752CE4" w:rsidRDefault="00752CE4" w:rsidP="00752CE4">
      <w:pPr>
        <w:tabs>
          <w:tab w:val="left" w:pos="567"/>
          <w:tab w:val="left" w:pos="5245"/>
          <w:tab w:val="left" w:pos="7230"/>
        </w:tabs>
        <w:spacing w:after="0" w:line="260" w:lineRule="exact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Pečlivě dodržujte pokyny pro správné podání, aby všichni ptáci dostali správnou dávku.</w:t>
      </w:r>
      <w:r w:rsidRPr="00752CE4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Nedostatečná vakcinace může vést ke snížené účinnosti.</w:t>
      </w:r>
    </w:p>
    <w:p w14:paraId="08DF30E7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63C403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63ACD7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9.</w:t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Informace o správném podávání</w:t>
      </w:r>
    </w:p>
    <w:p w14:paraId="4BB9AD6E" w14:textId="77777777" w:rsidR="00BA64B3" w:rsidRPr="00752CE4" w:rsidRDefault="00BA64B3" w:rsidP="00BA64B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3F2164" w14:textId="77777777" w:rsidR="00BA64B3" w:rsidRPr="00752CE4" w:rsidRDefault="00BA64B3" w:rsidP="00BA64B3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Vakcinaci provádějte od 8 týdnů života, nejméně 6 týdnů před počátkem snášky.</w:t>
      </w:r>
    </w:p>
    <w:p w14:paraId="7FA317E1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2ED81CE8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3D9C806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lastRenderedPageBreak/>
        <w:t>10.</w:t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Ochranné lhůty</w:t>
      </w:r>
    </w:p>
    <w:p w14:paraId="44DB5C8E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2E7A8D47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Cs/>
          <w:kern w:val="0"/>
          <w:szCs w:val="2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Bez ochranných lhůt.</w:t>
      </w:r>
    </w:p>
    <w:p w14:paraId="2E8AA088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73D3CAD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234D8653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11.</w:t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uchovávání</w:t>
      </w:r>
    </w:p>
    <w:p w14:paraId="7026F0F2" w14:textId="77777777" w:rsidR="00752CE4" w:rsidRPr="00752CE4" w:rsidRDefault="00752CE4" w:rsidP="00752CE4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F6691B" w14:textId="77777777" w:rsidR="00752CE4" w:rsidRPr="00752CE4" w:rsidRDefault="00752CE4" w:rsidP="00752CE4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Uchovávejte mimo dohled a dosah dětí.</w:t>
      </w:r>
    </w:p>
    <w:p w14:paraId="282AE795" w14:textId="77777777" w:rsidR="00752CE4" w:rsidRPr="00752CE4" w:rsidRDefault="00752CE4" w:rsidP="00752CE4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031081" w14:textId="02EBB009" w:rsidR="00752CE4" w:rsidRPr="00752CE4" w:rsidRDefault="00752CE4" w:rsidP="00752CE4">
      <w:pPr>
        <w:tabs>
          <w:tab w:val="left" w:pos="567"/>
        </w:tabs>
        <w:spacing w:after="0" w:line="260" w:lineRule="exact"/>
        <w:ind w:right="-2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Uchovávejte </w:t>
      </w: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a přepravujte chlazené 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(2 °</w:t>
      </w:r>
      <w:proofErr w:type="gramStart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>C – 8</w:t>
      </w:r>
      <w:proofErr w:type="gramEnd"/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 °C). Chraňte před přímým slunečním </w:t>
      </w: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zářením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. Chraňte před mrazem.</w:t>
      </w:r>
    </w:p>
    <w:p w14:paraId="3D9CE261" w14:textId="77777777" w:rsidR="00752CE4" w:rsidRPr="00752CE4" w:rsidRDefault="00752CE4" w:rsidP="00752CE4">
      <w:pPr>
        <w:tabs>
          <w:tab w:val="left" w:pos="567"/>
        </w:tabs>
        <w:spacing w:after="0" w:line="260" w:lineRule="exact"/>
        <w:ind w:right="-2"/>
        <w:rPr>
          <w:rFonts w:ascii="Times New Roman" w:eastAsia="Times New Roman" w:hAnsi="Times New Roman" w:cs="Times New Roman"/>
          <w:noProof/>
          <w:kern w:val="0"/>
          <w14:ligatures w14:val="none"/>
        </w:rPr>
      </w:pPr>
    </w:p>
    <w:p w14:paraId="46A581F3" w14:textId="77777777" w:rsidR="00752CE4" w:rsidRPr="00752CE4" w:rsidRDefault="00752CE4" w:rsidP="00752CE4">
      <w:pPr>
        <w:tabs>
          <w:tab w:val="left" w:pos="567"/>
        </w:tabs>
        <w:spacing w:after="0" w:line="260" w:lineRule="exact"/>
        <w:ind w:right="-2"/>
        <w:rPr>
          <w:rFonts w:ascii="Times New Roman" w:eastAsia="Times New Roman" w:hAnsi="Times New Roman" w:cs="Times New Roman"/>
          <w:noProof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Nepoužívejte tento veterinární léčivý přípravek po uplynutí doby použitelnost uvedené na etiketě.</w:t>
      </w:r>
    </w:p>
    <w:p w14:paraId="56771188" w14:textId="77777777" w:rsidR="00752CE4" w:rsidRPr="00752CE4" w:rsidRDefault="00752CE4" w:rsidP="00752CE4">
      <w:pPr>
        <w:tabs>
          <w:tab w:val="left" w:pos="567"/>
          <w:tab w:val="left" w:pos="5245"/>
          <w:tab w:val="left" w:pos="7230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E86879" w14:textId="77777777" w:rsidR="00752CE4" w:rsidRPr="00752CE4" w:rsidRDefault="00752CE4" w:rsidP="00752CE4">
      <w:pPr>
        <w:tabs>
          <w:tab w:val="left" w:pos="567"/>
          <w:tab w:val="left" w:pos="5245"/>
          <w:tab w:val="left" w:pos="7230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Doba použitelnosti po </w:t>
      </w: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rekonstituci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 podle návodu: 2 hodiny.</w:t>
      </w:r>
    </w:p>
    <w:p w14:paraId="5EFCAA2B" w14:textId="26CCE9DD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Chraňte rekonstituovanou vakcínu před přímým slunečním zářením a teplotami nad 25 °C. Chraňte před mrazem.</w:t>
      </w:r>
    </w:p>
    <w:p w14:paraId="1E192703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FA6D70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345493D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12.</w:t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Zvláštní opatření pro likvidaci</w:t>
      </w:r>
    </w:p>
    <w:p w14:paraId="1531A6DD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2CDB3258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Léčivé přípravky se nesmí likvidovat prostřednictvím odpadní vody či domovního odpadu.</w:t>
      </w:r>
    </w:p>
    <w:p w14:paraId="70272D70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0708DE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AEBE4C4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43547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O možnostech likvidace nepotřebných léčivých přípravků se poraďte s vaším veterinárním lékařem.</w:t>
      </w:r>
    </w:p>
    <w:p w14:paraId="3ABD08DF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010A31A6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lightGray"/>
          <w14:ligatures w14:val="none"/>
        </w:rPr>
      </w:pPr>
    </w:p>
    <w:p w14:paraId="7F1F7096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13.</w:t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Klasifikace veterinárních léčivých přípravků</w:t>
      </w:r>
    </w:p>
    <w:p w14:paraId="742F2F0A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512C8473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Veterinární léčivý přípravek je vydáván pouze na předpis.</w:t>
      </w:r>
    </w:p>
    <w:p w14:paraId="33E20652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1949C4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2F8CBD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14.</w:t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Registrační čísla a velikosti balení</w:t>
      </w:r>
    </w:p>
    <w:p w14:paraId="353712C4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D7C1EC" w14:textId="4763E888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52CE4">
        <w:rPr>
          <w:rFonts w:ascii="Times New Roman" w:eastAsia="Times New Roman" w:hAnsi="Times New Roman" w:cs="Times New Roman"/>
          <w:noProof/>
          <w:kern w:val="0"/>
          <w14:ligatures w14:val="none"/>
        </w:rPr>
        <w:t>97/066/09-C</w:t>
      </w: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 </w:t>
      </w:r>
    </w:p>
    <w:p w14:paraId="1C37309C" w14:textId="77777777" w:rsidR="00752CE4" w:rsidRPr="00752CE4" w:rsidRDefault="00752CE4" w:rsidP="00752CE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napToGrid w:val="0"/>
          <w:kern w:val="0"/>
          <w:lang w:eastAsia="zh-CN"/>
          <w14:ligatures w14:val="none"/>
        </w:rPr>
      </w:pPr>
    </w:p>
    <w:p w14:paraId="0B5CEFC7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Popis primárního obalu:</w:t>
      </w:r>
    </w:p>
    <w:p w14:paraId="07675926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Vakcína je dostupná v následujících velikostech balení:</w:t>
      </w:r>
    </w:p>
    <w:p w14:paraId="22D3AE98" w14:textId="3073DDBB" w:rsidR="00752CE4" w:rsidRPr="00752CE4" w:rsidRDefault="007B361A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Kartonová</w:t>
      </w:r>
      <w:r w:rsidR="00752CE4" w:rsidRPr="00752CE4">
        <w:rPr>
          <w:rFonts w:ascii="Times New Roman" w:eastAsia="Times New Roman" w:hAnsi="Times New Roman" w:cs="Times New Roman"/>
          <w:b/>
          <w:bCs/>
          <w:kern w:val="0"/>
          <w:szCs w:val="20"/>
          <w14:ligatures w14:val="none"/>
        </w:rPr>
        <w:t xml:space="preserve"> </w:t>
      </w:r>
      <w:r w:rsidR="00752CE4"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krabička obsahující 1 nebo 10 injekčních lahviček </w:t>
      </w:r>
      <w:r w:rsidR="00752CE4" w:rsidRPr="00752CE4">
        <w:rPr>
          <w:rFonts w:ascii="Times New Roman" w:eastAsia="Times New Roman" w:hAnsi="Times New Roman" w:cs="Times New Roman"/>
          <w:iCs/>
          <w:kern w:val="0"/>
          <w14:ligatures w14:val="none"/>
        </w:rPr>
        <w:t>ze skla typu I</w:t>
      </w:r>
      <w:r w:rsidR="00752CE4"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 obsahujících 500, 1000, 2500, 5000 nebo 10 000 dávek na injekční lahvičku.</w:t>
      </w:r>
    </w:p>
    <w:p w14:paraId="54AF3F60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Na trhu nemusí být všechny velikosti balení.</w:t>
      </w:r>
    </w:p>
    <w:p w14:paraId="621F1DEA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CB8441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9DA12F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15.</w:t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Datum poslední revize příbalové informace</w:t>
      </w:r>
    </w:p>
    <w:p w14:paraId="7A3D4D4E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E56543" w14:textId="381700D6" w:rsidR="00981D83" w:rsidRDefault="007B361A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0</w:t>
      </w:r>
      <w:r w:rsidR="00A27A65">
        <w:rPr>
          <w:rFonts w:ascii="Times New Roman" w:eastAsia="Times New Roman" w:hAnsi="Times New Roman" w:cs="Times New Roman"/>
          <w:kern w:val="0"/>
          <w:szCs w:val="20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Cs w:val="20"/>
          <w14:ligatures w14:val="none"/>
        </w:rPr>
        <w:t>/2024</w:t>
      </w:r>
    </w:p>
    <w:p w14:paraId="26B2E2D2" w14:textId="77777777" w:rsidR="00981D83" w:rsidRDefault="00981D83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10957428" w14:textId="456AA118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 xml:space="preserve">Podrobné informace o tomto veterinárním léčivém přípravku jsou k dispozici v databázi přípravků Unie 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(</w:t>
      </w:r>
      <w:hyperlink r:id="rId10" w:history="1">
        <w:r w:rsidRPr="00752CE4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https://medicines.health.europa.eu/veterinary</w:t>
        </w:r>
      </w:hyperlink>
      <w:r w:rsidRPr="00752CE4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5095E391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7DA88A" w14:textId="77777777" w:rsidR="00C72C97" w:rsidRPr="00C72C97" w:rsidRDefault="00C72C97" w:rsidP="00C72C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148432335"/>
      <w:r w:rsidRPr="00C72C97">
        <w:rPr>
          <w:rFonts w:ascii="Times New Roman" w:eastAsia="Times New Roman" w:hAnsi="Times New Roman" w:cs="Times New Roman"/>
        </w:rPr>
        <w:lastRenderedPageBreak/>
        <w:t>Podrobné informace o tomto veterinárním léčivém přípravku naleznete také v národní databázi (</w:t>
      </w:r>
      <w:hyperlink r:id="rId11" w:history="1">
        <w:r w:rsidRPr="00C72C97">
          <w:rPr>
            <w:rStyle w:val="Hypertextovodkaz"/>
            <w:rFonts w:ascii="Times New Roman" w:eastAsia="Times New Roman" w:hAnsi="Times New Roman" w:cs="Times New Roman"/>
          </w:rPr>
          <w:t>https://www.uskvbl.cz</w:t>
        </w:r>
      </w:hyperlink>
      <w:r w:rsidRPr="00C72C97">
        <w:rPr>
          <w:rFonts w:ascii="Times New Roman" w:eastAsia="Times New Roman" w:hAnsi="Times New Roman" w:cs="Times New Roman"/>
        </w:rPr>
        <w:t>).</w:t>
      </w:r>
    </w:p>
    <w:bookmarkEnd w:id="2"/>
    <w:p w14:paraId="3EB76424" w14:textId="77777777" w:rsidR="00C72C97" w:rsidRDefault="00C72C97" w:rsidP="00C72C97">
      <w:pPr>
        <w:tabs>
          <w:tab w:val="left" w:pos="567"/>
        </w:tabs>
        <w:spacing w:after="0" w:line="240" w:lineRule="auto"/>
        <w:jc w:val="both"/>
        <w:rPr>
          <w:rFonts w:eastAsia="Times New Roman" w:cstheme="minorHAnsi"/>
        </w:rPr>
      </w:pPr>
    </w:p>
    <w:p w14:paraId="48E6AE57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BB1A1E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16.</w:t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Kontaktní údaje</w:t>
      </w:r>
    </w:p>
    <w:p w14:paraId="28E5DAEC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0C6A67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Cs/>
          <w:kern w:val="0"/>
          <w14:ligatures w14:val="none"/>
        </w:rPr>
      </w:pPr>
      <w:bookmarkStart w:id="3" w:name="_Hlk73552578"/>
      <w:r w:rsidRPr="00752CE4">
        <w:rPr>
          <w:rFonts w:ascii="Times New Roman" w:eastAsia="Times New Roman" w:hAnsi="Times New Roman" w:cs="Times New Roman"/>
          <w:iCs/>
          <w:kern w:val="0"/>
          <w:u w:val="single"/>
          <w14:ligatures w14:val="none"/>
        </w:rPr>
        <w:t>Držitel rozhodnutí o registraci a výrobce odpovědný za uvolnění šarže a kontaktní údaje pro hlášení podezření na nežádoucí účinky</w:t>
      </w: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:</w:t>
      </w:r>
    </w:p>
    <w:bookmarkEnd w:id="3"/>
    <w:p w14:paraId="185A9CA8" w14:textId="77777777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Lohmann Animal Health GmbH, Heinz-Lohmann-Str. 4, 27472 Cuxhaven, Německo</w:t>
      </w:r>
    </w:p>
    <w:p w14:paraId="67388516" w14:textId="77777777" w:rsidR="00752CE4" w:rsidRPr="00752CE4" w:rsidRDefault="00752CE4" w:rsidP="00752CE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</w:p>
    <w:p w14:paraId="7E5695B3" w14:textId="77777777" w:rsidR="00752CE4" w:rsidRPr="00752CE4" w:rsidRDefault="00C72C97" w:rsidP="00752CE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color w:val="0000FF"/>
          <w:spacing w:val="-2"/>
          <w:kern w:val="0"/>
          <w:u w:val="single"/>
          <w:lang w:eastAsia="en-GB"/>
          <w14:ligatures w14:val="none"/>
        </w:rPr>
      </w:pPr>
      <w:hyperlink r:id="rId12" w:history="1">
        <w:r w:rsidR="00752CE4" w:rsidRPr="00752CE4">
          <w:rPr>
            <w:rFonts w:ascii="Times New Roman" w:eastAsia="Times New Roman" w:hAnsi="Times New Roman" w:cs="Times New Roman"/>
            <w:color w:val="0000FF"/>
            <w:spacing w:val="-2"/>
            <w:kern w:val="0"/>
            <w:u w:val="single"/>
            <w:lang w:eastAsia="en-GB"/>
            <w14:ligatures w14:val="none"/>
          </w:rPr>
          <w:t>PV.CZE@elancoah.com</w:t>
        </w:r>
      </w:hyperlink>
      <w:bookmarkStart w:id="4" w:name="_GoBack"/>
      <w:bookmarkEnd w:id="4"/>
    </w:p>
    <w:p w14:paraId="5AB9E5C4" w14:textId="77777777" w:rsidR="00752CE4" w:rsidRPr="00752CE4" w:rsidRDefault="00752CE4" w:rsidP="00752CE4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:szCs w:val="20"/>
          <w14:ligatures w14:val="none"/>
        </w:rPr>
        <w:t>+420228880231</w:t>
      </w:r>
    </w:p>
    <w:p w14:paraId="28B08638" w14:textId="77777777" w:rsidR="00752CE4" w:rsidRPr="00752CE4" w:rsidRDefault="00752CE4" w:rsidP="00752C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19C90B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</w:pPr>
    </w:p>
    <w:p w14:paraId="53427566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b/>
          <w:kern w:val="0"/>
          <w:highlight w:val="lightGray"/>
          <w14:ligatures w14:val="none"/>
        </w:rPr>
        <w:t>17.</w:t>
      </w:r>
      <w:r w:rsidRPr="00752CE4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Další informace</w:t>
      </w:r>
    </w:p>
    <w:p w14:paraId="379EB20E" w14:textId="77777777" w:rsidR="00752CE4" w:rsidRPr="00752CE4" w:rsidRDefault="00752CE4" w:rsidP="00752CE4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E21A16B" w14:textId="180F9651" w:rsidR="00752CE4" w:rsidRPr="00752CE4" w:rsidRDefault="00752CE4" w:rsidP="00752CE4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14:ligatures w14:val="none"/>
        </w:rPr>
      </w:pP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Vakcinací chovů je docíleno imunity proti infekcím vyvolaným virem anémie kuřat. Zabraňuje se tak exkreci viru a potažmo vertikálnímu rozšíření na vejce a horizontálnímu rozšíření prostřednictvím výkalů. Chovná drůbež se vakcinuje ve věku, kdy virus anémie kuřat již nikdy nevyvolá klinické příznaky, cílem vakcinace je přenos </w:t>
      </w:r>
      <w:r w:rsidR="008D7BB6">
        <w:rPr>
          <w:rFonts w:ascii="Times New Roman" w:eastAsia="Times New Roman" w:hAnsi="Times New Roman" w:cs="Times New Roman"/>
          <w:kern w:val="0"/>
          <w14:ligatures w14:val="none"/>
        </w:rPr>
        <w:t>mateřských</w:t>
      </w:r>
      <w:r w:rsidR="008D7BB6"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protilátek</w:t>
      </w:r>
      <w:r w:rsidR="000004F7">
        <w:rPr>
          <w:rFonts w:ascii="Times New Roman" w:eastAsia="Times New Roman" w:hAnsi="Times New Roman" w:cs="Times New Roman"/>
          <w:kern w:val="0"/>
          <w14:ligatures w14:val="none"/>
        </w:rPr>
        <w:t xml:space="preserve"> na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 xml:space="preserve"> potomstv</w:t>
      </w:r>
      <w:r w:rsidR="000004F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752CE4">
        <w:rPr>
          <w:rFonts w:ascii="Times New Roman" w:eastAsia="Times New Roman" w:hAnsi="Times New Roman" w:cs="Times New Roman"/>
          <w:kern w:val="0"/>
          <w14:ligatures w14:val="none"/>
        </w:rPr>
        <w:t>, aby bylo chráněno před infekcí v době mezi vylíhnutím a vytvořením jejich vlastní odolnosti vůči infekční anémii kuřat.</w:t>
      </w:r>
    </w:p>
    <w:p w14:paraId="4C09C91D" w14:textId="77777777" w:rsidR="00B8739A" w:rsidRPr="00752CE4" w:rsidRDefault="00B8739A"/>
    <w:sectPr w:rsidR="00B8739A" w:rsidRPr="00752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53EE"/>
    <w:multiLevelType w:val="multilevel"/>
    <w:tmpl w:val="4DA4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0C66C2"/>
    <w:multiLevelType w:val="singleLevel"/>
    <w:tmpl w:val="FE00F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7C125C3"/>
    <w:multiLevelType w:val="singleLevel"/>
    <w:tmpl w:val="FE00F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F91104"/>
    <w:multiLevelType w:val="singleLevel"/>
    <w:tmpl w:val="FE00F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E4"/>
    <w:rsid w:val="000004F7"/>
    <w:rsid w:val="00030142"/>
    <w:rsid w:val="00031BDB"/>
    <w:rsid w:val="000E2DF1"/>
    <w:rsid w:val="001C30C1"/>
    <w:rsid w:val="00383BFD"/>
    <w:rsid w:val="004500F0"/>
    <w:rsid w:val="00473A42"/>
    <w:rsid w:val="0056428F"/>
    <w:rsid w:val="00625B70"/>
    <w:rsid w:val="0063693C"/>
    <w:rsid w:val="00695939"/>
    <w:rsid w:val="00752CE4"/>
    <w:rsid w:val="0076210C"/>
    <w:rsid w:val="007A2A09"/>
    <w:rsid w:val="007B361A"/>
    <w:rsid w:val="008D7BB6"/>
    <w:rsid w:val="008E1196"/>
    <w:rsid w:val="00920143"/>
    <w:rsid w:val="00934764"/>
    <w:rsid w:val="00981D83"/>
    <w:rsid w:val="00A27A65"/>
    <w:rsid w:val="00A81897"/>
    <w:rsid w:val="00AE294F"/>
    <w:rsid w:val="00B8739A"/>
    <w:rsid w:val="00BA64B3"/>
    <w:rsid w:val="00C72C97"/>
    <w:rsid w:val="00D2717E"/>
    <w:rsid w:val="00D77E3D"/>
    <w:rsid w:val="00DA0AD6"/>
    <w:rsid w:val="00DF5993"/>
    <w:rsid w:val="00F92CB7"/>
    <w:rsid w:val="00FA2B42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2AAA"/>
  <w15:chartTrackingRefBased/>
  <w15:docId w15:val="{279FD2E5-952E-474E-ADE7-A716B2B7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2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2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2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2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2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2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2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2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RD">
    <w:name w:val="QRD"/>
    <w:basedOn w:val="Style1"/>
    <w:link w:val="QRDChar"/>
    <w:qFormat/>
    <w:rsid w:val="00F92CB7"/>
    <w:rPr>
      <w:color w:val="auto"/>
      <w:lang w:val="sl-SI" w:eastAsia="sl-SI"/>
    </w:rPr>
  </w:style>
  <w:style w:type="character" w:customStyle="1" w:styleId="QRDChar">
    <w:name w:val="QRD Char"/>
    <w:basedOn w:val="Style1Char"/>
    <w:link w:val="QRD"/>
    <w:rsid w:val="00F92CB7"/>
    <w:rPr>
      <w:b/>
      <w:color w:val="000000"/>
      <w:lang w:val="sl-SI" w:eastAsia="sl-SI"/>
    </w:rPr>
  </w:style>
  <w:style w:type="paragraph" w:customStyle="1" w:styleId="Style1">
    <w:name w:val="Style1"/>
    <w:basedOn w:val="Normln"/>
    <w:link w:val="Style1Char"/>
    <w:qFormat/>
    <w:rsid w:val="001C30C1"/>
    <w:pPr>
      <w:spacing w:after="0" w:line="240" w:lineRule="auto"/>
      <w:jc w:val="center"/>
    </w:pPr>
    <w:rPr>
      <w:b/>
      <w:color w:val="000000"/>
      <w:lang w:val="lv-LV"/>
    </w:rPr>
  </w:style>
  <w:style w:type="character" w:customStyle="1" w:styleId="Style1Char">
    <w:name w:val="Style1 Char"/>
    <w:basedOn w:val="Standardnpsmoodstavce"/>
    <w:link w:val="Style1"/>
    <w:rsid w:val="001C30C1"/>
    <w:rPr>
      <w:b/>
      <w:color w:val="000000"/>
      <w:lang w:val="lv-LV"/>
    </w:rPr>
  </w:style>
  <w:style w:type="paragraph" w:customStyle="1" w:styleId="TitleA">
    <w:name w:val="Title A"/>
    <w:basedOn w:val="Normln"/>
    <w:link w:val="TitleAChar"/>
    <w:qFormat/>
    <w:rsid w:val="00D77E3D"/>
    <w:pPr>
      <w:spacing w:after="0" w:line="240" w:lineRule="auto"/>
      <w:jc w:val="center"/>
    </w:pPr>
    <w:rPr>
      <w:b/>
    </w:rPr>
  </w:style>
  <w:style w:type="character" w:customStyle="1" w:styleId="TitleAChar">
    <w:name w:val="Title A Char"/>
    <w:basedOn w:val="Standardnpsmoodstavce"/>
    <w:link w:val="TitleA"/>
    <w:rsid w:val="00D77E3D"/>
    <w:rPr>
      <w:b/>
    </w:rPr>
  </w:style>
  <w:style w:type="paragraph" w:customStyle="1" w:styleId="TitleB">
    <w:name w:val="Title B"/>
    <w:basedOn w:val="Normln"/>
    <w:link w:val="TitleBChar"/>
    <w:qFormat/>
    <w:rsid w:val="00D77E3D"/>
    <w:pPr>
      <w:widowControl w:val="0"/>
      <w:tabs>
        <w:tab w:val="left" w:pos="567"/>
      </w:tabs>
      <w:autoSpaceDE w:val="0"/>
      <w:autoSpaceDN w:val="0"/>
      <w:spacing w:after="0" w:line="240" w:lineRule="auto"/>
    </w:pPr>
    <w:rPr>
      <w:lang w:val="en-US"/>
    </w:rPr>
  </w:style>
  <w:style w:type="character" w:customStyle="1" w:styleId="TitleBChar">
    <w:name w:val="Title B Char"/>
    <w:basedOn w:val="Standardnpsmoodstavce"/>
    <w:link w:val="TitleB"/>
    <w:rsid w:val="00D77E3D"/>
    <w:rPr>
      <w:lang w:val="en-US"/>
    </w:rPr>
  </w:style>
  <w:style w:type="paragraph" w:customStyle="1" w:styleId="titleA0">
    <w:name w:val="title A"/>
    <w:basedOn w:val="Normln"/>
    <w:link w:val="titleAChar0"/>
    <w:qFormat/>
    <w:rsid w:val="007A2A09"/>
    <w:pPr>
      <w:spacing w:after="0" w:line="240" w:lineRule="auto"/>
      <w:jc w:val="center"/>
    </w:pPr>
    <w:rPr>
      <w:b/>
    </w:rPr>
  </w:style>
  <w:style w:type="character" w:customStyle="1" w:styleId="titleAChar0">
    <w:name w:val="title A Char"/>
    <w:basedOn w:val="Standardnpsmoodstavce"/>
    <w:link w:val="titleA0"/>
    <w:rsid w:val="007A2A09"/>
    <w:rPr>
      <w:b/>
    </w:rPr>
  </w:style>
  <w:style w:type="paragraph" w:customStyle="1" w:styleId="QRDTitle">
    <w:name w:val="QRD Title"/>
    <w:basedOn w:val="TitleA"/>
    <w:link w:val="QRDTitleChar"/>
    <w:autoRedefine/>
    <w:qFormat/>
    <w:rsid w:val="00FD3287"/>
  </w:style>
  <w:style w:type="character" w:customStyle="1" w:styleId="QRDTitleChar">
    <w:name w:val="QRD Title Char"/>
    <w:basedOn w:val="TitleAChar"/>
    <w:link w:val="QRDTitle"/>
    <w:rsid w:val="00FD3287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752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2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2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2C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2C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2C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2C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2C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2C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2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2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2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2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2C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2C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2C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2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2C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2CE4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B42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unhideWhenUsed/>
    <w:rsid w:val="00C72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V.CZE@elancoa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50493a622741b534aafc858be5b41ef2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9b2b7c4edcc159a5f18dc00ad4e8759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Props1.xml><?xml version="1.0" encoding="utf-8"?>
<ds:datastoreItem xmlns:ds="http://schemas.openxmlformats.org/officeDocument/2006/customXml" ds:itemID="{A405879B-7E4B-4085-86C3-463D2F844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12B25-4507-42AC-B6E5-DE52664F6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C7464-7532-41EE-9378-7088110800FA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1337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Tusar</dc:creator>
  <cp:keywords/>
  <dc:description/>
  <cp:lastModifiedBy>Morávková Věra</cp:lastModifiedBy>
  <cp:revision>17</cp:revision>
  <dcterms:created xsi:type="dcterms:W3CDTF">2024-05-15T13:53:00Z</dcterms:created>
  <dcterms:modified xsi:type="dcterms:W3CDTF">2024-06-14T10:27:00Z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0x010100F9FE20DFD7E4F24EB6978DB77E30EE02</vt:lpwstr>
  </property>
</Properties>
</file>