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1586E" w14:textId="063ED421" w:rsidR="00712CD0" w:rsidRDefault="00712CD0" w:rsidP="00712CD0">
      <w:pPr>
        <w:pStyle w:val="Bezmezer"/>
      </w:pPr>
    </w:p>
    <w:p w14:paraId="7726C7FD" w14:textId="5FDE787D" w:rsidR="00800C0C" w:rsidRDefault="00B92A04" w:rsidP="00396098">
      <w:pPr>
        <w:pStyle w:val="Bezmezer"/>
        <w:jc w:val="both"/>
        <w:rPr>
          <w:sz w:val="13"/>
        </w:rPr>
      </w:pPr>
      <w:r w:rsidRPr="00B92A04">
        <w:rPr>
          <w:rFonts w:asciiTheme="minorHAnsi" w:hAnsiTheme="minorHAnsi" w:cstheme="minorHAnsi"/>
          <w:b/>
          <w:bCs/>
          <w:color w:val="auto"/>
          <w:sz w:val="22"/>
          <w:szCs w:val="22"/>
        </w:rPr>
        <w:t>EIAV AGID ANTIBODY TEST KIT</w:t>
      </w:r>
    </w:p>
    <w:p w14:paraId="6D100D7B" w14:textId="77777777" w:rsidR="00B92A04" w:rsidRPr="00171D94" w:rsidRDefault="00B92A04" w:rsidP="00B92A04">
      <w:pPr>
        <w:pStyle w:val="Zkladntext30"/>
        <w:shd w:val="clear" w:color="auto" w:fill="auto"/>
        <w:spacing w:line="240" w:lineRule="auto"/>
        <w:rPr>
          <w:color w:val="FFFFFF" w:themeColor="background1"/>
          <w:sz w:val="16"/>
          <w:szCs w:val="16"/>
        </w:rPr>
      </w:pPr>
      <w:r w:rsidRPr="00435C71">
        <w:rPr>
          <w:rStyle w:val="Zkladntext32"/>
          <w:b/>
          <w:color w:val="auto"/>
          <w:sz w:val="16"/>
          <w:szCs w:val="16"/>
        </w:rPr>
        <w:t>PRO VETERINÁRNÍ POUŽITÍ</w:t>
      </w:r>
      <w:r>
        <w:rPr>
          <w:rStyle w:val="Zkladntext32"/>
          <w:b/>
          <w:color w:val="auto"/>
          <w:sz w:val="16"/>
          <w:szCs w:val="16"/>
        </w:rPr>
        <w:t>. Veterinární přípravek.</w:t>
      </w:r>
    </w:p>
    <w:p w14:paraId="30F75EBD" w14:textId="6AA12D15" w:rsidR="00800C0C" w:rsidRDefault="00800C0C" w:rsidP="00712CD0">
      <w:pPr>
        <w:pStyle w:val="Bezmezer"/>
        <w:jc w:val="both"/>
        <w:rPr>
          <w:sz w:val="13"/>
        </w:rPr>
      </w:pPr>
    </w:p>
    <w:p w14:paraId="1A089CC6" w14:textId="45B34E17" w:rsidR="00FF7C42" w:rsidRDefault="00FF7C42" w:rsidP="00712CD0">
      <w:pPr>
        <w:pStyle w:val="Bezmezer"/>
        <w:jc w:val="both"/>
        <w:rPr>
          <w:sz w:val="13"/>
        </w:rPr>
      </w:pPr>
    </w:p>
    <w:p w14:paraId="602FCEAE" w14:textId="77777777" w:rsidR="00FF7C42" w:rsidRDefault="00FF7C42" w:rsidP="00712CD0">
      <w:pPr>
        <w:pStyle w:val="Bezmezer"/>
        <w:jc w:val="both"/>
        <w:rPr>
          <w:sz w:val="13"/>
        </w:rPr>
      </w:pPr>
    </w:p>
    <w:p w14:paraId="702B3151" w14:textId="77777777" w:rsidR="00800C0C" w:rsidRDefault="00800C0C" w:rsidP="00712CD0">
      <w:pPr>
        <w:pStyle w:val="Bezmezer"/>
        <w:jc w:val="both"/>
        <w:rPr>
          <w:sz w:val="13"/>
          <w:szCs w:val="13"/>
        </w:rPr>
        <w:sectPr w:rsidR="00800C0C" w:rsidSect="008A1FD5">
          <w:headerReference w:type="default" r:id="rId8"/>
          <w:footerReference w:type="default" r:id="rId9"/>
          <w:pgSz w:w="12240" w:h="15840"/>
          <w:pgMar w:top="709" w:right="1183" w:bottom="360" w:left="851" w:header="0" w:footer="110" w:gutter="0"/>
          <w:cols w:num="2" w:space="340"/>
          <w:noEndnote/>
          <w:docGrid w:linePitch="360"/>
        </w:sectPr>
      </w:pPr>
      <w:bookmarkStart w:id="0" w:name="bookmark1"/>
    </w:p>
    <w:p w14:paraId="611F9613" w14:textId="77777777" w:rsidR="00B92A04" w:rsidRDefault="00B92A04" w:rsidP="00B92A04">
      <w:pPr>
        <w:pStyle w:val="Bezmezer"/>
        <w:ind w:firstLine="426"/>
        <w:jc w:val="both"/>
        <w:rPr>
          <w:rStyle w:val="Nadpis11"/>
          <w:b/>
          <w:bCs/>
          <w:color w:val="auto"/>
          <w:sz w:val="22"/>
          <w:szCs w:val="22"/>
        </w:rPr>
      </w:pPr>
    </w:p>
    <w:p w14:paraId="0EEB5C45" w14:textId="00AB37D0" w:rsidR="00800C0C" w:rsidRDefault="00E81E6F" w:rsidP="00B92A04">
      <w:pPr>
        <w:pStyle w:val="Bezmezer"/>
        <w:ind w:firstLine="426"/>
        <w:jc w:val="both"/>
        <w:rPr>
          <w:sz w:val="18"/>
        </w:rPr>
      </w:pPr>
      <w:r>
        <w:rPr>
          <w:rStyle w:val="Nadpis11"/>
          <w:b/>
          <w:bCs/>
          <w:color w:val="auto"/>
          <w:sz w:val="22"/>
          <w:szCs w:val="22"/>
        </w:rPr>
        <w:t>NÁVOD K </w:t>
      </w:r>
      <w:r w:rsidR="00E04A59">
        <w:rPr>
          <w:rStyle w:val="Nadpis11"/>
          <w:b/>
          <w:bCs/>
          <w:color w:val="auto"/>
          <w:sz w:val="22"/>
          <w:szCs w:val="22"/>
        </w:rPr>
        <w:t>POUŽITÍ – SOUPRAVA</w:t>
      </w:r>
      <w:r w:rsidR="00B92A04" w:rsidRPr="00435C71">
        <w:rPr>
          <w:rStyle w:val="Nadpis11"/>
          <w:b/>
          <w:bCs/>
          <w:color w:val="auto"/>
          <w:sz w:val="22"/>
          <w:szCs w:val="22"/>
        </w:rPr>
        <w:t xml:space="preserve"> PRO TESTOVÁNÍ PROTILÁTEK PROTI VIRU</w:t>
      </w:r>
      <w:r w:rsidR="00B92A04">
        <w:rPr>
          <w:rStyle w:val="Nadpis11"/>
          <w:b/>
          <w:bCs/>
          <w:color w:val="auto"/>
          <w:sz w:val="22"/>
          <w:szCs w:val="22"/>
        </w:rPr>
        <w:t xml:space="preserve"> EIA</w:t>
      </w:r>
    </w:p>
    <w:p w14:paraId="6D95E9EE" w14:textId="77777777" w:rsidR="00B92A04" w:rsidRDefault="00B92A04" w:rsidP="00712CD0">
      <w:pPr>
        <w:pStyle w:val="Bezmezer"/>
        <w:jc w:val="both"/>
        <w:rPr>
          <w:sz w:val="18"/>
        </w:rPr>
      </w:pPr>
    </w:p>
    <w:p w14:paraId="62F4C35F" w14:textId="136E70D5" w:rsidR="00693AD2" w:rsidRPr="00A64992" w:rsidRDefault="00EF34F2" w:rsidP="00880FE2">
      <w:pPr>
        <w:pStyle w:val="Bezmezer"/>
        <w:ind w:left="426"/>
        <w:jc w:val="both"/>
        <w:rPr>
          <w:b/>
          <w:bCs/>
        </w:rPr>
      </w:pPr>
      <w:r w:rsidRPr="00A64992">
        <w:rPr>
          <w:b/>
          <w:bCs/>
        </w:rPr>
        <w:t>Obecný popis</w:t>
      </w:r>
      <w:bookmarkEnd w:id="0"/>
    </w:p>
    <w:p w14:paraId="62F802DA" w14:textId="3D0AED78" w:rsidR="00693AD2" w:rsidRPr="00A64992" w:rsidRDefault="00EF34F2" w:rsidP="00A64992">
      <w:pPr>
        <w:pStyle w:val="Bezmezer"/>
        <w:ind w:left="426" w:firstLine="425"/>
        <w:jc w:val="both"/>
        <w:rPr>
          <w:sz w:val="20"/>
          <w:szCs w:val="20"/>
        </w:rPr>
      </w:pPr>
      <w:r w:rsidRPr="00A64992">
        <w:rPr>
          <w:sz w:val="20"/>
          <w:szCs w:val="20"/>
        </w:rPr>
        <w:t xml:space="preserve">Tento </w:t>
      </w:r>
      <w:proofErr w:type="spellStart"/>
      <w:r w:rsidRPr="00A64992">
        <w:rPr>
          <w:sz w:val="20"/>
          <w:szCs w:val="20"/>
        </w:rPr>
        <w:t>imunodif</w:t>
      </w:r>
      <w:r w:rsidR="009F0B1F" w:rsidRPr="00A64992">
        <w:rPr>
          <w:sz w:val="20"/>
          <w:szCs w:val="20"/>
        </w:rPr>
        <w:t>ú</w:t>
      </w:r>
      <w:r w:rsidRPr="00A64992">
        <w:rPr>
          <w:sz w:val="20"/>
          <w:szCs w:val="20"/>
        </w:rPr>
        <w:t>zní</w:t>
      </w:r>
      <w:proofErr w:type="spellEnd"/>
      <w:r w:rsidR="009F0B1F" w:rsidRPr="00A64992">
        <w:rPr>
          <w:sz w:val="20"/>
          <w:szCs w:val="20"/>
        </w:rPr>
        <w:t xml:space="preserve"> </w:t>
      </w:r>
      <w:r w:rsidRPr="00A64992">
        <w:rPr>
          <w:sz w:val="20"/>
          <w:szCs w:val="20"/>
        </w:rPr>
        <w:t xml:space="preserve">test </w:t>
      </w:r>
      <w:r w:rsidR="009F0B1F" w:rsidRPr="00A64992">
        <w:rPr>
          <w:sz w:val="20"/>
          <w:szCs w:val="20"/>
        </w:rPr>
        <w:t>pro detekci</w:t>
      </w:r>
      <w:r w:rsidRPr="00A64992">
        <w:rPr>
          <w:sz w:val="20"/>
          <w:szCs w:val="20"/>
        </w:rPr>
        <w:t xml:space="preserve"> viru infekční anémie koní (EIAV) detekuje v sérech koňovitých precipitující protilátky proti purifikovanému rekombinantnímu jádrovému proteinu viru EIA o molekulové hmotnosti 26 000 (p26). Vzorky sér, pokud jsou pozitivní, vytvoří linii, která </w:t>
      </w:r>
      <w:r w:rsidR="009F0B1F" w:rsidRPr="00A64992">
        <w:rPr>
          <w:sz w:val="20"/>
          <w:szCs w:val="20"/>
        </w:rPr>
        <w:t>reaguje</w:t>
      </w:r>
      <w:r w:rsidRPr="00A64992">
        <w:rPr>
          <w:sz w:val="20"/>
          <w:szCs w:val="20"/>
        </w:rPr>
        <w:t xml:space="preserve"> s referenčními pozitivními kontrolními liniemi, nebo která vychýlí referenční pozitivní kontrolní linie směrem dovnitř v blízkosti jamky se vzorkem</w:t>
      </w:r>
      <w:r w:rsidR="007D55A0" w:rsidRPr="00A64992">
        <w:rPr>
          <w:sz w:val="20"/>
          <w:szCs w:val="20"/>
        </w:rPr>
        <w:t xml:space="preserve">. </w:t>
      </w:r>
      <w:r w:rsidRPr="00A64992">
        <w:rPr>
          <w:sz w:val="20"/>
          <w:szCs w:val="20"/>
        </w:rPr>
        <w:t xml:space="preserve">Negativní séra nevytvoří linii, která by </w:t>
      </w:r>
      <w:r w:rsidR="007D55A0" w:rsidRPr="00A64992">
        <w:rPr>
          <w:sz w:val="20"/>
          <w:szCs w:val="20"/>
        </w:rPr>
        <w:t>reagovala</w:t>
      </w:r>
      <w:r w:rsidRPr="00A64992">
        <w:rPr>
          <w:sz w:val="20"/>
          <w:szCs w:val="20"/>
        </w:rPr>
        <w:t xml:space="preserve"> s referenční pozitivní kontrolní </w:t>
      </w:r>
      <w:r w:rsidR="007D55A0" w:rsidRPr="00A64992">
        <w:rPr>
          <w:sz w:val="20"/>
          <w:szCs w:val="20"/>
        </w:rPr>
        <w:t xml:space="preserve">linií </w:t>
      </w:r>
      <w:r w:rsidRPr="00A64992">
        <w:rPr>
          <w:sz w:val="20"/>
          <w:szCs w:val="20"/>
        </w:rPr>
        <w:t xml:space="preserve">ani nezpůsobí </w:t>
      </w:r>
      <w:r w:rsidR="007D55A0" w:rsidRPr="00A64992">
        <w:rPr>
          <w:sz w:val="20"/>
          <w:szCs w:val="20"/>
        </w:rPr>
        <w:t xml:space="preserve">její </w:t>
      </w:r>
      <w:r w:rsidRPr="00A64992">
        <w:rPr>
          <w:sz w:val="20"/>
          <w:szCs w:val="20"/>
        </w:rPr>
        <w:t>odchylku.</w:t>
      </w:r>
    </w:p>
    <w:p w14:paraId="0908FCA7" w14:textId="77777777" w:rsidR="00712CD0" w:rsidRPr="00A64992" w:rsidRDefault="00712CD0" w:rsidP="00A64992">
      <w:pPr>
        <w:pStyle w:val="Bezmezer"/>
        <w:ind w:left="426" w:firstLine="425"/>
        <w:jc w:val="both"/>
        <w:rPr>
          <w:sz w:val="20"/>
          <w:szCs w:val="20"/>
        </w:rPr>
      </w:pPr>
      <w:bookmarkStart w:id="1" w:name="bookmark2"/>
    </w:p>
    <w:p w14:paraId="5F926240" w14:textId="7444A8B4" w:rsidR="00693AD2" w:rsidRPr="00800C0C" w:rsidRDefault="00EF34F2" w:rsidP="00880FE2">
      <w:pPr>
        <w:pStyle w:val="Bezmezer"/>
        <w:ind w:left="426"/>
        <w:jc w:val="both"/>
      </w:pPr>
      <w:r w:rsidRPr="00A64992">
        <w:rPr>
          <w:b/>
          <w:bCs/>
        </w:rPr>
        <w:t>Obsah</w:t>
      </w:r>
      <w:r w:rsidRPr="00800C0C">
        <w:t xml:space="preserve"> </w:t>
      </w:r>
      <w:r w:rsidRPr="00A64992">
        <w:rPr>
          <w:b/>
          <w:bCs/>
        </w:rPr>
        <w:t>soupravy</w:t>
      </w:r>
      <w:bookmarkEnd w:id="1"/>
    </w:p>
    <w:p w14:paraId="0DD01129" w14:textId="53A2E9F5" w:rsidR="00693AD2" w:rsidRPr="00A64992" w:rsidRDefault="00EF34F2" w:rsidP="00880FE2">
      <w:pPr>
        <w:pStyle w:val="Bezmezer"/>
        <w:ind w:left="426" w:firstLine="425"/>
        <w:jc w:val="both"/>
        <w:rPr>
          <w:sz w:val="20"/>
          <w:szCs w:val="20"/>
        </w:rPr>
      </w:pPr>
      <w:r w:rsidRPr="00A64992">
        <w:rPr>
          <w:sz w:val="20"/>
          <w:szCs w:val="20"/>
        </w:rPr>
        <w:t>1</w:t>
      </w:r>
      <w:r w:rsidR="00880FE2">
        <w:rPr>
          <w:sz w:val="20"/>
          <w:szCs w:val="20"/>
        </w:rPr>
        <w:t>x</w:t>
      </w:r>
      <w:r w:rsidRPr="00A64992">
        <w:rPr>
          <w:sz w:val="20"/>
          <w:szCs w:val="20"/>
        </w:rPr>
        <w:t xml:space="preserve"> lahvička A</w:t>
      </w:r>
      <w:r w:rsidR="00880FE2">
        <w:rPr>
          <w:sz w:val="20"/>
          <w:szCs w:val="20"/>
        </w:rPr>
        <w:t>:</w:t>
      </w:r>
      <w:r w:rsidR="005E00ED">
        <w:rPr>
          <w:sz w:val="20"/>
          <w:szCs w:val="20"/>
        </w:rPr>
        <w:t xml:space="preserve"> ……… </w:t>
      </w:r>
      <w:r w:rsidRPr="00A64992">
        <w:rPr>
          <w:sz w:val="20"/>
          <w:szCs w:val="20"/>
        </w:rPr>
        <w:t>EIAV p26 Antigen</w:t>
      </w:r>
      <w:r w:rsidR="00880FE2">
        <w:rPr>
          <w:sz w:val="20"/>
          <w:szCs w:val="20"/>
        </w:rPr>
        <w:t xml:space="preserve"> </w:t>
      </w:r>
      <w:r w:rsidR="005E00ED">
        <w:rPr>
          <w:sz w:val="20"/>
          <w:szCs w:val="20"/>
        </w:rPr>
        <w:t xml:space="preserve">……………………….. </w:t>
      </w:r>
      <w:r w:rsidRPr="00A64992">
        <w:rPr>
          <w:sz w:val="20"/>
          <w:szCs w:val="20"/>
        </w:rPr>
        <w:t>3,35 ml</w:t>
      </w:r>
    </w:p>
    <w:p w14:paraId="022F188E" w14:textId="6DF6FA20" w:rsidR="00693AD2" w:rsidRPr="00A64992" w:rsidRDefault="00EF34F2" w:rsidP="00880FE2">
      <w:pPr>
        <w:pStyle w:val="Bezmezer"/>
        <w:ind w:left="426" w:firstLine="425"/>
        <w:jc w:val="both"/>
        <w:rPr>
          <w:sz w:val="20"/>
          <w:szCs w:val="20"/>
        </w:rPr>
      </w:pPr>
      <w:r w:rsidRPr="00A64992">
        <w:rPr>
          <w:sz w:val="20"/>
          <w:szCs w:val="20"/>
        </w:rPr>
        <w:t>1</w:t>
      </w:r>
      <w:r w:rsidR="00880FE2">
        <w:rPr>
          <w:sz w:val="20"/>
          <w:szCs w:val="20"/>
        </w:rPr>
        <w:t>x</w:t>
      </w:r>
      <w:r w:rsidRPr="00A64992">
        <w:rPr>
          <w:sz w:val="20"/>
          <w:szCs w:val="20"/>
        </w:rPr>
        <w:t xml:space="preserve"> lahvička R</w:t>
      </w:r>
      <w:r w:rsidR="00880FE2">
        <w:rPr>
          <w:sz w:val="20"/>
          <w:szCs w:val="20"/>
        </w:rPr>
        <w:t>:</w:t>
      </w:r>
      <w:r w:rsidR="005E00ED">
        <w:rPr>
          <w:sz w:val="20"/>
          <w:szCs w:val="20"/>
        </w:rPr>
        <w:t xml:space="preserve"> ……… </w:t>
      </w:r>
      <w:r w:rsidRPr="00A64992">
        <w:rPr>
          <w:sz w:val="20"/>
          <w:szCs w:val="20"/>
        </w:rPr>
        <w:t>Referenční pozitivní kontrolní sérum</w:t>
      </w:r>
      <w:r w:rsidR="005E00ED">
        <w:rPr>
          <w:sz w:val="20"/>
          <w:szCs w:val="20"/>
        </w:rPr>
        <w:t xml:space="preserve"> ….. </w:t>
      </w:r>
      <w:r w:rsidRPr="00A64992">
        <w:rPr>
          <w:sz w:val="20"/>
          <w:szCs w:val="20"/>
        </w:rPr>
        <w:t>10 ml</w:t>
      </w:r>
    </w:p>
    <w:p w14:paraId="63CDBE13" w14:textId="0F679466" w:rsidR="00693AD2" w:rsidRPr="00396098" w:rsidRDefault="00EF34F2" w:rsidP="00396098">
      <w:pPr>
        <w:pStyle w:val="Bezmezer"/>
        <w:ind w:left="426"/>
        <w:jc w:val="both"/>
        <w:rPr>
          <w:b/>
          <w:bCs/>
          <w:sz w:val="18"/>
        </w:rPr>
      </w:pPr>
      <w:r w:rsidRPr="00396098">
        <w:rPr>
          <w:b/>
          <w:bCs/>
          <w:sz w:val="18"/>
        </w:rPr>
        <w:t>Tato činidla postačují k provedení až 200 testů.</w:t>
      </w:r>
    </w:p>
    <w:p w14:paraId="600468CD" w14:textId="77777777" w:rsidR="00712CD0" w:rsidRPr="00A64992" w:rsidRDefault="00712CD0" w:rsidP="00A64992">
      <w:pPr>
        <w:pStyle w:val="Bezmezer"/>
        <w:ind w:left="426" w:firstLine="425"/>
        <w:jc w:val="both"/>
        <w:rPr>
          <w:sz w:val="20"/>
          <w:szCs w:val="20"/>
        </w:rPr>
      </w:pPr>
      <w:bookmarkStart w:id="2" w:name="bookmark3"/>
    </w:p>
    <w:p w14:paraId="6701CB79" w14:textId="57FE9BDE" w:rsidR="00693AD2" w:rsidRPr="00A64992" w:rsidRDefault="007D55A0" w:rsidP="00880FE2">
      <w:pPr>
        <w:pStyle w:val="Bezmezer"/>
        <w:ind w:left="426"/>
        <w:jc w:val="both"/>
        <w:rPr>
          <w:b/>
          <w:bCs/>
        </w:rPr>
      </w:pPr>
      <w:r w:rsidRPr="00A64992">
        <w:rPr>
          <w:b/>
          <w:bCs/>
        </w:rPr>
        <w:t xml:space="preserve">Potřebné materiály, které nejsou součástí </w:t>
      </w:r>
      <w:bookmarkEnd w:id="2"/>
      <w:r w:rsidRPr="00A64992">
        <w:rPr>
          <w:b/>
          <w:bCs/>
        </w:rPr>
        <w:t>balení</w:t>
      </w:r>
    </w:p>
    <w:p w14:paraId="4AE7D95E" w14:textId="26FB76B4" w:rsidR="00693AD2" w:rsidRPr="00A64992" w:rsidRDefault="00EF34F2" w:rsidP="00A64992">
      <w:pPr>
        <w:pStyle w:val="Bezmezer"/>
        <w:ind w:left="426" w:firstLine="425"/>
        <w:jc w:val="both"/>
        <w:rPr>
          <w:sz w:val="20"/>
          <w:szCs w:val="20"/>
        </w:rPr>
      </w:pPr>
      <w:r w:rsidRPr="00A64992">
        <w:rPr>
          <w:sz w:val="20"/>
          <w:szCs w:val="20"/>
        </w:rPr>
        <w:t xml:space="preserve">Topná deska, autokláv nebo mikrovlnná trouba, váhy, </w:t>
      </w:r>
      <w:r w:rsidR="007D55A0" w:rsidRPr="00A64992">
        <w:rPr>
          <w:sz w:val="20"/>
          <w:szCs w:val="20"/>
        </w:rPr>
        <w:t xml:space="preserve">baňka o objemu </w:t>
      </w:r>
      <w:r w:rsidRPr="00A64992">
        <w:rPr>
          <w:sz w:val="20"/>
          <w:szCs w:val="20"/>
        </w:rPr>
        <w:t>250 ml, laboratorní pipety, chladnička, standardní řezačka gelu, vakuová pumpa nebo vodou poháněná filtrační pumpa, mikropip</w:t>
      </w:r>
      <w:r w:rsidR="007D55A0" w:rsidRPr="00A64992">
        <w:rPr>
          <w:sz w:val="20"/>
          <w:szCs w:val="20"/>
        </w:rPr>
        <w:t>e</w:t>
      </w:r>
      <w:r w:rsidRPr="00A64992">
        <w:rPr>
          <w:sz w:val="20"/>
          <w:szCs w:val="20"/>
        </w:rPr>
        <w:t>tor, jednorázové</w:t>
      </w:r>
      <w:r w:rsidR="007D55A0" w:rsidRPr="00A64992">
        <w:rPr>
          <w:sz w:val="20"/>
          <w:szCs w:val="20"/>
        </w:rPr>
        <w:t xml:space="preserve"> </w:t>
      </w:r>
      <w:r w:rsidRPr="00A64992">
        <w:rPr>
          <w:sz w:val="20"/>
          <w:szCs w:val="20"/>
        </w:rPr>
        <w:t>pipetovací hroty, plastová nádoba, vysoce intenzivní světelný zdroj s úzkým paprskem, vodní lázeň o teplotě 45</w:t>
      </w:r>
      <w:r w:rsidR="006E7614">
        <w:rPr>
          <w:sz w:val="20"/>
          <w:szCs w:val="20"/>
        </w:rPr>
        <w:t> </w:t>
      </w:r>
      <w:r w:rsidRPr="00A64992">
        <w:rPr>
          <w:sz w:val="20"/>
          <w:szCs w:val="20"/>
        </w:rPr>
        <w:t xml:space="preserve">°C (doporučovaná, ale ne nutná), </w:t>
      </w:r>
      <w:r w:rsidR="00DF48EE" w:rsidRPr="00A64992">
        <w:rPr>
          <w:sz w:val="20"/>
          <w:szCs w:val="20"/>
        </w:rPr>
        <w:t>přečištěný</w:t>
      </w:r>
      <w:r w:rsidRPr="00A64992">
        <w:rPr>
          <w:sz w:val="20"/>
          <w:szCs w:val="20"/>
        </w:rPr>
        <w:t xml:space="preserve"> agar</w:t>
      </w:r>
      <w:r w:rsidR="007D55A0" w:rsidRPr="00A64992">
        <w:rPr>
          <w:sz w:val="20"/>
          <w:szCs w:val="20"/>
        </w:rPr>
        <w:t>, hydroxid sodný</w:t>
      </w:r>
      <w:r w:rsidRPr="00A64992">
        <w:rPr>
          <w:sz w:val="20"/>
          <w:szCs w:val="20"/>
        </w:rPr>
        <w:t>, kyselina boritá, destilovaná nebo</w:t>
      </w:r>
      <w:r w:rsidR="009A2114">
        <w:rPr>
          <w:sz w:val="20"/>
          <w:szCs w:val="20"/>
        </w:rPr>
        <w:t> </w:t>
      </w:r>
      <w:proofErr w:type="spellStart"/>
      <w:r w:rsidRPr="00A64992">
        <w:rPr>
          <w:sz w:val="20"/>
          <w:szCs w:val="20"/>
        </w:rPr>
        <w:t>deionizovaná</w:t>
      </w:r>
      <w:proofErr w:type="spellEnd"/>
      <w:r w:rsidRPr="00A64992">
        <w:rPr>
          <w:sz w:val="20"/>
          <w:szCs w:val="20"/>
        </w:rPr>
        <w:t xml:space="preserve"> voda, plastové </w:t>
      </w:r>
      <w:proofErr w:type="spellStart"/>
      <w:r w:rsidRPr="00A64992">
        <w:rPr>
          <w:sz w:val="20"/>
          <w:szCs w:val="20"/>
        </w:rPr>
        <w:t>Petriho</w:t>
      </w:r>
      <w:proofErr w:type="spellEnd"/>
      <w:r w:rsidRPr="00A64992">
        <w:rPr>
          <w:sz w:val="20"/>
          <w:szCs w:val="20"/>
        </w:rPr>
        <w:t xml:space="preserve"> misky o průměru 100 mm nebo plastový tácek o rozměrech 45 x 90 mm.</w:t>
      </w:r>
    </w:p>
    <w:p w14:paraId="0885FF2F" w14:textId="77777777" w:rsidR="00712CD0" w:rsidRPr="00A64992" w:rsidRDefault="00712CD0" w:rsidP="00A64992">
      <w:pPr>
        <w:pStyle w:val="Bezmezer"/>
        <w:ind w:left="426" w:firstLine="425"/>
        <w:jc w:val="both"/>
        <w:rPr>
          <w:sz w:val="20"/>
          <w:szCs w:val="20"/>
        </w:rPr>
      </w:pPr>
      <w:bookmarkStart w:id="3" w:name="bookmark4"/>
    </w:p>
    <w:p w14:paraId="3B8AC104" w14:textId="33596BB6" w:rsidR="00693AD2" w:rsidRPr="00A64992" w:rsidRDefault="00EF34F2" w:rsidP="00880FE2">
      <w:pPr>
        <w:pStyle w:val="Bezmezer"/>
        <w:ind w:left="426"/>
        <w:jc w:val="both"/>
        <w:rPr>
          <w:b/>
          <w:bCs/>
        </w:rPr>
      </w:pPr>
      <w:r w:rsidRPr="00A64992">
        <w:rPr>
          <w:b/>
          <w:bCs/>
        </w:rPr>
        <w:t>Skladování a stabilita</w:t>
      </w:r>
      <w:bookmarkEnd w:id="3"/>
    </w:p>
    <w:p w14:paraId="551B966F" w14:textId="0B156C66" w:rsidR="00693AD2" w:rsidRPr="00A64992" w:rsidRDefault="00EF34F2" w:rsidP="00A64992">
      <w:pPr>
        <w:pStyle w:val="Bezmezer"/>
        <w:ind w:left="426" w:firstLine="425"/>
        <w:jc w:val="both"/>
        <w:rPr>
          <w:sz w:val="20"/>
          <w:szCs w:val="20"/>
        </w:rPr>
      </w:pPr>
      <w:r w:rsidRPr="00A64992">
        <w:rPr>
          <w:sz w:val="20"/>
          <w:szCs w:val="20"/>
        </w:rPr>
        <w:t xml:space="preserve">Nepoužívejte součásti jiných </w:t>
      </w:r>
      <w:r w:rsidR="007D55A0" w:rsidRPr="00A64992">
        <w:rPr>
          <w:sz w:val="20"/>
          <w:szCs w:val="20"/>
        </w:rPr>
        <w:t>balení</w:t>
      </w:r>
      <w:r w:rsidRPr="00A64992">
        <w:rPr>
          <w:sz w:val="20"/>
          <w:szCs w:val="20"/>
        </w:rPr>
        <w:t>. Všechna činidla skladujte při teplotě 2–8 °C. Nezamrazujte. Reakční činidla zůstávají stabilní až do data ex</w:t>
      </w:r>
      <w:r w:rsidR="006E7614">
        <w:rPr>
          <w:sz w:val="20"/>
          <w:szCs w:val="20"/>
        </w:rPr>
        <w:t>s</w:t>
      </w:r>
      <w:r w:rsidRPr="00A64992">
        <w:rPr>
          <w:sz w:val="20"/>
          <w:szCs w:val="20"/>
        </w:rPr>
        <w:t>pirace, pokud jsou skladována podle pokynů. Testovací soupravu nepoužívejte po uplynutí ex</w:t>
      </w:r>
      <w:r w:rsidR="006E7614">
        <w:rPr>
          <w:sz w:val="20"/>
          <w:szCs w:val="20"/>
        </w:rPr>
        <w:t>s</w:t>
      </w:r>
      <w:r w:rsidRPr="00A64992">
        <w:rPr>
          <w:sz w:val="20"/>
          <w:szCs w:val="20"/>
        </w:rPr>
        <w:t>pirace uvedené na krabičce. Používejte čisté vybavení, aby nedošlo ke kontaminaci činidel.</w:t>
      </w:r>
    </w:p>
    <w:p w14:paraId="02973EA4" w14:textId="77777777" w:rsidR="00712CD0" w:rsidRPr="00A64992" w:rsidRDefault="00712CD0" w:rsidP="00A64992">
      <w:pPr>
        <w:pStyle w:val="Bezmezer"/>
        <w:ind w:left="426" w:firstLine="425"/>
        <w:jc w:val="both"/>
        <w:rPr>
          <w:sz w:val="20"/>
          <w:szCs w:val="20"/>
        </w:rPr>
      </w:pPr>
      <w:bookmarkStart w:id="4" w:name="bookmark5"/>
    </w:p>
    <w:p w14:paraId="1E671451" w14:textId="015DB28B" w:rsidR="00693AD2" w:rsidRPr="00A64992" w:rsidRDefault="00EF34F2" w:rsidP="00880FE2">
      <w:pPr>
        <w:pStyle w:val="Bezmezer"/>
        <w:ind w:firstLine="426"/>
        <w:jc w:val="both"/>
        <w:rPr>
          <w:b/>
          <w:bCs/>
        </w:rPr>
      </w:pPr>
      <w:r w:rsidRPr="00A64992">
        <w:rPr>
          <w:b/>
          <w:bCs/>
        </w:rPr>
        <w:t>Příprava agarového gelu</w:t>
      </w:r>
      <w:bookmarkEnd w:id="4"/>
    </w:p>
    <w:p w14:paraId="738321CB" w14:textId="18C128CB" w:rsidR="00693AD2" w:rsidRPr="00A64992" w:rsidRDefault="00EF34F2" w:rsidP="006E7614">
      <w:pPr>
        <w:pStyle w:val="Bezmezer"/>
        <w:numPr>
          <w:ilvl w:val="0"/>
          <w:numId w:val="5"/>
        </w:numPr>
        <w:ind w:left="426" w:firstLine="425"/>
        <w:jc w:val="both"/>
        <w:rPr>
          <w:sz w:val="20"/>
          <w:szCs w:val="20"/>
        </w:rPr>
      </w:pPr>
      <w:r w:rsidRPr="00A64992">
        <w:rPr>
          <w:sz w:val="20"/>
          <w:szCs w:val="20"/>
        </w:rPr>
        <w:t xml:space="preserve">Připravte boritanový pufr smícháním 2 g </w:t>
      </w:r>
      <w:r w:rsidR="00A45326" w:rsidRPr="00A64992">
        <w:rPr>
          <w:sz w:val="20"/>
          <w:szCs w:val="20"/>
        </w:rPr>
        <w:t>hydroxidu sodného</w:t>
      </w:r>
      <w:r w:rsidRPr="00A64992">
        <w:rPr>
          <w:sz w:val="20"/>
          <w:szCs w:val="20"/>
        </w:rPr>
        <w:t xml:space="preserve"> a 9 g kyseliny borité v 1 litru destilované vody. Výsledné pH by mělo být přibližně 8,6.</w:t>
      </w:r>
    </w:p>
    <w:p w14:paraId="08B455B2" w14:textId="62834965" w:rsidR="00693AD2" w:rsidRPr="00A64992" w:rsidRDefault="00EF34F2" w:rsidP="001B4354">
      <w:pPr>
        <w:pStyle w:val="Bezmezer"/>
        <w:numPr>
          <w:ilvl w:val="0"/>
          <w:numId w:val="5"/>
        </w:numPr>
        <w:ind w:left="426" w:firstLine="425"/>
        <w:jc w:val="both"/>
        <w:rPr>
          <w:sz w:val="20"/>
          <w:szCs w:val="20"/>
        </w:rPr>
      </w:pPr>
      <w:r w:rsidRPr="00A64992">
        <w:rPr>
          <w:sz w:val="20"/>
          <w:szCs w:val="20"/>
        </w:rPr>
        <w:t>V boritanovém pufru připravte 1% roztok ušlechtilého agaru.</w:t>
      </w:r>
    </w:p>
    <w:p w14:paraId="09484557" w14:textId="05AD7466" w:rsidR="00693AD2" w:rsidRPr="00A64992" w:rsidRDefault="00EF34F2" w:rsidP="00880FBF">
      <w:pPr>
        <w:pStyle w:val="Bezmezer"/>
        <w:numPr>
          <w:ilvl w:val="0"/>
          <w:numId w:val="5"/>
        </w:numPr>
        <w:ind w:left="426" w:firstLine="425"/>
        <w:jc w:val="both"/>
        <w:rPr>
          <w:sz w:val="20"/>
          <w:szCs w:val="20"/>
        </w:rPr>
      </w:pPr>
      <w:r w:rsidRPr="00A64992">
        <w:rPr>
          <w:sz w:val="20"/>
          <w:szCs w:val="20"/>
        </w:rPr>
        <w:t xml:space="preserve">Roztok vařte, dokud se nerozpustí, a poté jej </w:t>
      </w:r>
      <w:r w:rsidR="00A45326" w:rsidRPr="00A64992">
        <w:rPr>
          <w:sz w:val="20"/>
          <w:szCs w:val="20"/>
        </w:rPr>
        <w:t>7</w:t>
      </w:r>
      <w:r w:rsidRPr="00A64992">
        <w:rPr>
          <w:sz w:val="20"/>
          <w:szCs w:val="20"/>
        </w:rPr>
        <w:t xml:space="preserve"> minut autoklávujte při tlaku </w:t>
      </w:r>
      <w:r w:rsidR="00A45326" w:rsidRPr="00A64992">
        <w:rPr>
          <w:sz w:val="20"/>
          <w:szCs w:val="20"/>
        </w:rPr>
        <w:t>20 PSI</w:t>
      </w:r>
      <w:r w:rsidRPr="00A64992">
        <w:rPr>
          <w:sz w:val="20"/>
          <w:szCs w:val="20"/>
        </w:rPr>
        <w:t xml:space="preserve"> a teplotě 121 °C. Roztok agaru a pufru také ohřívejte v mikrovlnné troubě v</w:t>
      </w:r>
      <w:r w:rsidR="006E7614">
        <w:rPr>
          <w:sz w:val="20"/>
          <w:szCs w:val="20"/>
        </w:rPr>
        <w:t> </w:t>
      </w:r>
      <w:r w:rsidRPr="00A64992">
        <w:rPr>
          <w:sz w:val="20"/>
          <w:szCs w:val="20"/>
        </w:rPr>
        <w:t>30</w:t>
      </w:r>
      <w:r w:rsidR="006E7614">
        <w:rPr>
          <w:sz w:val="20"/>
          <w:szCs w:val="20"/>
        </w:rPr>
        <w:t xml:space="preserve"> </w:t>
      </w:r>
      <w:r w:rsidRPr="00A64992">
        <w:rPr>
          <w:sz w:val="20"/>
          <w:szCs w:val="20"/>
        </w:rPr>
        <w:t>sekundových intervalech po dobu přibližně 3 minut</w:t>
      </w:r>
      <w:r w:rsidR="00A45326" w:rsidRPr="00A64992">
        <w:rPr>
          <w:sz w:val="20"/>
          <w:szCs w:val="20"/>
        </w:rPr>
        <w:t>y</w:t>
      </w:r>
      <w:r w:rsidRPr="00A64992">
        <w:rPr>
          <w:sz w:val="20"/>
          <w:szCs w:val="20"/>
        </w:rPr>
        <w:t xml:space="preserve"> nebo do úplného rozpuštění agaru.</w:t>
      </w:r>
    </w:p>
    <w:p w14:paraId="3498CC82" w14:textId="279DEAF4" w:rsidR="00693AD2" w:rsidRPr="00A64992" w:rsidRDefault="00EF34F2">
      <w:pPr>
        <w:pStyle w:val="Bezmezer"/>
        <w:numPr>
          <w:ilvl w:val="0"/>
          <w:numId w:val="5"/>
        </w:numPr>
        <w:ind w:left="426" w:firstLine="425"/>
        <w:jc w:val="both"/>
        <w:rPr>
          <w:sz w:val="20"/>
          <w:szCs w:val="20"/>
        </w:rPr>
      </w:pPr>
      <w:r w:rsidRPr="00A64992">
        <w:rPr>
          <w:sz w:val="20"/>
          <w:szCs w:val="20"/>
        </w:rPr>
        <w:t>Roztok ochlaďte na 45 °C a poté přeneste 15 ml roztoku do Petriho misky o průměru 100 mm nebo</w:t>
      </w:r>
      <w:r w:rsidR="009A2114">
        <w:rPr>
          <w:sz w:val="20"/>
          <w:szCs w:val="20"/>
        </w:rPr>
        <w:t> </w:t>
      </w:r>
      <w:r w:rsidRPr="00A64992">
        <w:rPr>
          <w:sz w:val="20"/>
          <w:szCs w:val="20"/>
        </w:rPr>
        <w:t>11</w:t>
      </w:r>
      <w:r w:rsidR="009A2114">
        <w:rPr>
          <w:sz w:val="20"/>
          <w:szCs w:val="20"/>
        </w:rPr>
        <w:t> </w:t>
      </w:r>
      <w:r w:rsidRPr="00A64992">
        <w:rPr>
          <w:sz w:val="20"/>
          <w:szCs w:val="20"/>
        </w:rPr>
        <w:t>ml do misek o rozměrech 45 x 90 mm. Agar by měl mít tloušťku 2,8 mm.</w:t>
      </w:r>
    </w:p>
    <w:p w14:paraId="64EA7004" w14:textId="3D237CBB" w:rsidR="00693AD2" w:rsidRPr="00A64992" w:rsidRDefault="00EF34F2">
      <w:pPr>
        <w:pStyle w:val="Bezmezer"/>
        <w:numPr>
          <w:ilvl w:val="0"/>
          <w:numId w:val="5"/>
        </w:numPr>
        <w:ind w:left="426" w:firstLine="425"/>
        <w:jc w:val="both"/>
        <w:rPr>
          <w:sz w:val="20"/>
          <w:szCs w:val="20"/>
        </w:rPr>
      </w:pPr>
      <w:r w:rsidRPr="00A64992">
        <w:rPr>
          <w:sz w:val="20"/>
          <w:szCs w:val="20"/>
        </w:rPr>
        <w:t>Agar nechte vychladnout v</w:t>
      </w:r>
      <w:r w:rsidR="00F934CF" w:rsidRPr="00A64992">
        <w:rPr>
          <w:sz w:val="20"/>
          <w:szCs w:val="20"/>
        </w:rPr>
        <w:t xml:space="preserve"> </w:t>
      </w:r>
      <w:r w:rsidRPr="00A64992">
        <w:rPr>
          <w:sz w:val="20"/>
          <w:szCs w:val="20"/>
        </w:rPr>
        <w:t xml:space="preserve">bezprašném prostředí. Během chlazení odstraňte víčka, aby mohla unikat vodní pára. Pro dosažení nejlepších výsledků doporučujeme destičky s čerstvě nalitým roztokem před použitím skladovat přes noc při teplotě 2–8 °C. Destičky nebo tácky s nerozřezaným agarem lze skladovat </w:t>
      </w:r>
      <w:r w:rsidR="00F934CF" w:rsidRPr="00A64992">
        <w:rPr>
          <w:sz w:val="20"/>
          <w:szCs w:val="20"/>
        </w:rPr>
        <w:t>převrácené</w:t>
      </w:r>
      <w:r w:rsidRPr="00A64992">
        <w:rPr>
          <w:sz w:val="20"/>
          <w:szCs w:val="20"/>
        </w:rPr>
        <w:t xml:space="preserve"> při</w:t>
      </w:r>
      <w:r w:rsidR="009A2114">
        <w:rPr>
          <w:sz w:val="20"/>
          <w:szCs w:val="20"/>
        </w:rPr>
        <w:t> </w:t>
      </w:r>
      <w:r w:rsidRPr="00A64992">
        <w:rPr>
          <w:sz w:val="20"/>
          <w:szCs w:val="20"/>
        </w:rPr>
        <w:t>teplotě 2-8 °C v sáčcích na zip až po dobu jednoho týdne. Před použitím zkontrolujte uskladněný agar, zda</w:t>
      </w:r>
      <w:r w:rsidR="009A2114">
        <w:rPr>
          <w:sz w:val="20"/>
          <w:szCs w:val="20"/>
        </w:rPr>
        <w:t> </w:t>
      </w:r>
      <w:r w:rsidRPr="00A64992">
        <w:rPr>
          <w:sz w:val="20"/>
          <w:szCs w:val="20"/>
        </w:rPr>
        <w:t xml:space="preserve">není vysušený nebo pokrytý </w:t>
      </w:r>
      <w:r w:rsidR="00F934CF" w:rsidRPr="00A64992">
        <w:rPr>
          <w:sz w:val="20"/>
          <w:szCs w:val="20"/>
        </w:rPr>
        <w:t xml:space="preserve">kondenzující </w:t>
      </w:r>
      <w:r w:rsidRPr="00A64992">
        <w:rPr>
          <w:sz w:val="20"/>
          <w:szCs w:val="20"/>
        </w:rPr>
        <w:t>vlhkostí.</w:t>
      </w:r>
    </w:p>
    <w:p w14:paraId="70B29165" w14:textId="77777777" w:rsidR="00712CD0" w:rsidRPr="00712CD0" w:rsidRDefault="00712CD0" w:rsidP="00A64992">
      <w:pPr>
        <w:pStyle w:val="Bezmezer"/>
        <w:ind w:left="426" w:firstLine="425"/>
        <w:jc w:val="both"/>
        <w:rPr>
          <w:sz w:val="13"/>
          <w:szCs w:val="13"/>
        </w:rPr>
      </w:pPr>
      <w:bookmarkStart w:id="5" w:name="bookmark6"/>
    </w:p>
    <w:p w14:paraId="10D82CA9" w14:textId="7F4AB945" w:rsidR="00693AD2" w:rsidRPr="00A64992" w:rsidRDefault="00EF34F2" w:rsidP="00880FE2">
      <w:pPr>
        <w:pStyle w:val="Bezmezer"/>
        <w:ind w:firstLine="426"/>
        <w:jc w:val="both"/>
        <w:rPr>
          <w:b/>
          <w:bCs/>
        </w:rPr>
      </w:pPr>
      <w:r w:rsidRPr="00A64992">
        <w:rPr>
          <w:b/>
          <w:bCs/>
        </w:rPr>
        <w:t>Vyřezávání jamek v agarovém gelu</w:t>
      </w:r>
      <w:bookmarkEnd w:id="5"/>
    </w:p>
    <w:p w14:paraId="503615C0" w14:textId="139EF4A0" w:rsidR="00171D94" w:rsidRDefault="00EF34F2" w:rsidP="00A64992">
      <w:pPr>
        <w:pStyle w:val="Bezmezer"/>
        <w:ind w:left="426" w:firstLine="425"/>
        <w:jc w:val="both"/>
        <w:rPr>
          <w:sz w:val="20"/>
          <w:szCs w:val="20"/>
        </w:rPr>
      </w:pPr>
      <w:r w:rsidRPr="00A64992">
        <w:rPr>
          <w:sz w:val="20"/>
          <w:szCs w:val="20"/>
        </w:rPr>
        <w:t>Používá se vzor se sedmi jamkami – s jednou středovou jamkou a šesti jamkami v kruhu kolem ní. Jamky jsou od sebe vzdáleny 2,4 mm a mají průměr 5,3 mm. Agar se řeže po dostatečném ztuhnutí, aby se při</w:t>
      </w:r>
      <w:r w:rsidR="009A2114">
        <w:rPr>
          <w:sz w:val="20"/>
          <w:szCs w:val="20"/>
        </w:rPr>
        <w:t> </w:t>
      </w:r>
      <w:r w:rsidRPr="00A64992">
        <w:rPr>
          <w:sz w:val="20"/>
          <w:szCs w:val="20"/>
        </w:rPr>
        <w:t xml:space="preserve">odstraňování agarových zátek neporušily řezné hrany jamek. Agarová zátka se z jamek odsaje pomocí kovové nebo skleněné kanyly, která je vytažena do malého otvoru (o průměru 1–2 mm) a připojena k vakuovému potrubí. </w:t>
      </w:r>
      <w:r w:rsidR="00F934CF" w:rsidRPr="00A64992">
        <w:rPr>
          <w:sz w:val="20"/>
          <w:szCs w:val="20"/>
        </w:rPr>
        <w:t>Dbejte na to</w:t>
      </w:r>
      <w:r w:rsidRPr="00A64992">
        <w:rPr>
          <w:sz w:val="20"/>
          <w:szCs w:val="20"/>
        </w:rPr>
        <w:t>, aby nedošlo k oddělení agaru od destičky. Pokud se před zavedením činidel nebo vzorků objeví v</w:t>
      </w:r>
      <w:r w:rsidR="009A2114">
        <w:rPr>
          <w:sz w:val="20"/>
          <w:szCs w:val="20"/>
        </w:rPr>
        <w:t> </w:t>
      </w:r>
      <w:r w:rsidRPr="00A64992">
        <w:rPr>
          <w:sz w:val="20"/>
          <w:szCs w:val="20"/>
        </w:rPr>
        <w:t>jamkách vlhkost, je třeba ji odsát nebo nechat odpařit. Destičky by měly být použity v den jejich rozřezání.</w:t>
      </w:r>
    </w:p>
    <w:p w14:paraId="0744906A" w14:textId="77777777" w:rsidR="00171D94" w:rsidRDefault="00171D94">
      <w:pPr>
        <w:rPr>
          <w:sz w:val="20"/>
          <w:szCs w:val="20"/>
        </w:rPr>
      </w:pPr>
      <w:r>
        <w:rPr>
          <w:sz w:val="20"/>
          <w:szCs w:val="20"/>
        </w:rPr>
        <w:br w:type="page"/>
      </w:r>
    </w:p>
    <w:p w14:paraId="45ED5618" w14:textId="7356CAED" w:rsidR="00693AD2" w:rsidRPr="00A64992" w:rsidRDefault="00EF34F2" w:rsidP="00880FE2">
      <w:pPr>
        <w:pStyle w:val="Bezmezer"/>
        <w:ind w:firstLine="426"/>
        <w:jc w:val="both"/>
        <w:rPr>
          <w:b/>
          <w:bCs/>
        </w:rPr>
      </w:pPr>
      <w:bookmarkStart w:id="6" w:name="bookmark7"/>
      <w:r w:rsidRPr="00A64992">
        <w:rPr>
          <w:b/>
          <w:bCs/>
        </w:rPr>
        <w:lastRenderedPageBreak/>
        <w:t>Požadavky na vzorky</w:t>
      </w:r>
      <w:bookmarkEnd w:id="6"/>
    </w:p>
    <w:p w14:paraId="3D0CAD69" w14:textId="4CA6BA98" w:rsidR="00693AD2" w:rsidRPr="00A64992" w:rsidRDefault="00EF34F2" w:rsidP="00A64992">
      <w:pPr>
        <w:pStyle w:val="Bezmezer"/>
        <w:ind w:left="426" w:firstLine="425"/>
        <w:jc w:val="both"/>
        <w:rPr>
          <w:sz w:val="20"/>
          <w:szCs w:val="20"/>
        </w:rPr>
      </w:pPr>
      <w:r w:rsidRPr="00A64992">
        <w:rPr>
          <w:sz w:val="20"/>
          <w:szCs w:val="20"/>
        </w:rPr>
        <w:t>Testovaný vzorek musí být sérum. Vzorek séra by měl být co nejdříve oddělen od sraženiny a uchováván při</w:t>
      </w:r>
      <w:r w:rsidR="009A2114">
        <w:rPr>
          <w:sz w:val="20"/>
          <w:szCs w:val="20"/>
        </w:rPr>
        <w:t> </w:t>
      </w:r>
      <w:r w:rsidRPr="00A64992">
        <w:rPr>
          <w:sz w:val="20"/>
          <w:szCs w:val="20"/>
        </w:rPr>
        <w:t>teplotě 2–8 °C, nebo zmrazen až do provedení testu. Sérum však může být uchováváno při teplotě 2–8 °C</w:t>
      </w:r>
      <w:r w:rsidR="001B4354">
        <w:rPr>
          <w:sz w:val="20"/>
          <w:szCs w:val="20"/>
        </w:rPr>
        <w:t>,</w:t>
      </w:r>
      <w:r w:rsidRPr="00A64992">
        <w:rPr>
          <w:sz w:val="20"/>
          <w:szCs w:val="20"/>
        </w:rPr>
        <w:t xml:space="preserve"> a</w:t>
      </w:r>
      <w:r w:rsidR="009A2114">
        <w:rPr>
          <w:sz w:val="20"/>
          <w:szCs w:val="20"/>
        </w:rPr>
        <w:t> </w:t>
      </w:r>
      <w:r w:rsidRPr="00A64992">
        <w:rPr>
          <w:sz w:val="20"/>
          <w:szCs w:val="20"/>
        </w:rPr>
        <w:t>to buď na sraženině nebo bez ní, až do doby provedení testu po dobu 28 dnů. Oddělené sérum lze zmrazit na</w:t>
      </w:r>
      <w:r w:rsidR="009A2114">
        <w:rPr>
          <w:sz w:val="20"/>
          <w:szCs w:val="20"/>
        </w:rPr>
        <w:t> </w:t>
      </w:r>
      <w:r w:rsidRPr="00A64992">
        <w:rPr>
          <w:sz w:val="20"/>
          <w:szCs w:val="20"/>
        </w:rPr>
        <w:t>dobu neurčitou až do provedení testu. Hemolyzované sérum může zabarvit agar, ale nebylo prokázáno, že by ovlivnilo výsledek testu. Nicméně testování silně hemolyzovaných nebo kontaminovaných vzorků se nedoporučuje.</w:t>
      </w:r>
    </w:p>
    <w:p w14:paraId="310AF64C" w14:textId="77777777" w:rsidR="00712CD0" w:rsidRPr="00A64992" w:rsidRDefault="00712CD0" w:rsidP="00A64992">
      <w:pPr>
        <w:pStyle w:val="Bezmezer"/>
        <w:ind w:left="426" w:firstLine="425"/>
        <w:jc w:val="both"/>
        <w:rPr>
          <w:sz w:val="20"/>
          <w:szCs w:val="20"/>
        </w:rPr>
      </w:pPr>
      <w:bookmarkStart w:id="7" w:name="bookmark8"/>
    </w:p>
    <w:p w14:paraId="2A65750E" w14:textId="399C0224" w:rsidR="00693AD2" w:rsidRPr="00A64992" w:rsidRDefault="00EF34F2" w:rsidP="00880FE2">
      <w:pPr>
        <w:pStyle w:val="Bezmezer"/>
        <w:ind w:firstLine="426"/>
        <w:jc w:val="both"/>
        <w:rPr>
          <w:b/>
          <w:bCs/>
        </w:rPr>
      </w:pPr>
      <w:r w:rsidRPr="00A64992">
        <w:rPr>
          <w:b/>
          <w:bCs/>
        </w:rPr>
        <w:t>Plnění jamek a inkubace agarových destiček</w:t>
      </w:r>
      <w:bookmarkEnd w:id="7"/>
    </w:p>
    <w:p w14:paraId="114860BF" w14:textId="7A2E3149" w:rsidR="00693AD2" w:rsidRPr="00A64992" w:rsidRDefault="00EF34F2" w:rsidP="00A64992">
      <w:pPr>
        <w:pStyle w:val="Bezmezer"/>
        <w:ind w:left="426" w:firstLine="425"/>
        <w:jc w:val="both"/>
        <w:rPr>
          <w:sz w:val="20"/>
          <w:szCs w:val="20"/>
        </w:rPr>
      </w:pPr>
      <w:r w:rsidRPr="00A64992">
        <w:rPr>
          <w:sz w:val="20"/>
          <w:szCs w:val="20"/>
        </w:rPr>
        <w:t xml:space="preserve">Antigen (A) se </w:t>
      </w:r>
      <w:r w:rsidR="007745CE" w:rsidRPr="00A64992">
        <w:rPr>
          <w:sz w:val="20"/>
          <w:szCs w:val="20"/>
        </w:rPr>
        <w:t>dávkuje</w:t>
      </w:r>
      <w:r w:rsidRPr="00A64992">
        <w:rPr>
          <w:sz w:val="20"/>
          <w:szCs w:val="20"/>
        </w:rPr>
        <w:t xml:space="preserve"> do prostřední jamky </w:t>
      </w:r>
      <w:r w:rsidR="007745CE" w:rsidRPr="00A64992">
        <w:rPr>
          <w:sz w:val="20"/>
          <w:szCs w:val="20"/>
        </w:rPr>
        <w:t>mikropipetou</w:t>
      </w:r>
      <w:r w:rsidRPr="00A64992">
        <w:rPr>
          <w:sz w:val="20"/>
          <w:szCs w:val="20"/>
        </w:rPr>
        <w:t xml:space="preserve"> </w:t>
      </w:r>
      <w:r w:rsidR="007745CE" w:rsidRPr="00A64992">
        <w:rPr>
          <w:sz w:val="20"/>
          <w:szCs w:val="20"/>
        </w:rPr>
        <w:t>v objemu</w:t>
      </w:r>
      <w:r w:rsidRPr="00A64992">
        <w:rPr>
          <w:sz w:val="20"/>
          <w:szCs w:val="20"/>
        </w:rPr>
        <w:t xml:space="preserve"> 50 µl. </w:t>
      </w:r>
      <w:r w:rsidR="007745CE" w:rsidRPr="00A64992">
        <w:rPr>
          <w:sz w:val="20"/>
          <w:szCs w:val="20"/>
        </w:rPr>
        <w:t>Dále se dávkuje 50 µl</w:t>
      </w:r>
      <w:r w:rsidRPr="00A64992">
        <w:rPr>
          <w:sz w:val="20"/>
          <w:szCs w:val="20"/>
        </w:rPr>
        <w:t xml:space="preserve"> referenčního pozitivního kontrolního séra (R) do jamek na každé straně testovaného vzorku (vzorků) (obrázek 1). Toto uspořádání poskytuje pozitivní kontrolní linii na každé straně testovaného séra, což usnadňuje přesné určení linie identity. V každém </w:t>
      </w:r>
      <w:r w:rsidR="007745CE" w:rsidRPr="00A64992">
        <w:rPr>
          <w:sz w:val="20"/>
          <w:szCs w:val="20"/>
        </w:rPr>
        <w:t>běhu</w:t>
      </w:r>
      <w:r w:rsidRPr="00A64992">
        <w:rPr>
          <w:sz w:val="20"/>
          <w:szCs w:val="20"/>
        </w:rPr>
        <w:t xml:space="preserve"> lze testovat celkem tři vzorky</w:t>
      </w:r>
      <w:r w:rsidR="007745CE" w:rsidRPr="00A64992">
        <w:rPr>
          <w:sz w:val="20"/>
          <w:szCs w:val="20"/>
        </w:rPr>
        <w:t xml:space="preserve"> v objemu</w:t>
      </w:r>
      <w:r w:rsidRPr="00A64992">
        <w:rPr>
          <w:sz w:val="20"/>
          <w:szCs w:val="20"/>
        </w:rPr>
        <w:t xml:space="preserve"> 50 µl pro každou jamku. Jamky se naplní do</w:t>
      </w:r>
      <w:r w:rsidR="009A2114">
        <w:rPr>
          <w:sz w:val="20"/>
          <w:szCs w:val="20"/>
        </w:rPr>
        <w:t> </w:t>
      </w:r>
      <w:r w:rsidRPr="00A64992">
        <w:rPr>
          <w:sz w:val="20"/>
          <w:szCs w:val="20"/>
        </w:rPr>
        <w:t>úrovně povrchu agaru, aniž by vznikl prohnut</w:t>
      </w:r>
      <w:r w:rsidR="007745CE" w:rsidRPr="00A64992">
        <w:rPr>
          <w:sz w:val="20"/>
          <w:szCs w:val="20"/>
        </w:rPr>
        <w:t>ý meniskus</w:t>
      </w:r>
      <w:r w:rsidRPr="00A64992">
        <w:rPr>
          <w:sz w:val="20"/>
          <w:szCs w:val="20"/>
        </w:rPr>
        <w:t>. Sérum nesmí stékat po vrchní části agaru. Před</w:t>
      </w:r>
      <w:r w:rsidR="009A2114">
        <w:rPr>
          <w:sz w:val="20"/>
          <w:szCs w:val="20"/>
        </w:rPr>
        <w:t> </w:t>
      </w:r>
      <w:r w:rsidRPr="00A64992">
        <w:rPr>
          <w:sz w:val="20"/>
          <w:szCs w:val="20"/>
        </w:rPr>
        <w:t xml:space="preserve">přemístěním nechte destičky několik minut odstát, abyste </w:t>
      </w:r>
      <w:r w:rsidR="007745CE" w:rsidRPr="00A64992">
        <w:rPr>
          <w:sz w:val="20"/>
          <w:szCs w:val="20"/>
        </w:rPr>
        <w:t>minimalizovali riziko</w:t>
      </w:r>
      <w:r w:rsidRPr="00A64992">
        <w:rPr>
          <w:sz w:val="20"/>
          <w:szCs w:val="20"/>
        </w:rPr>
        <w:t xml:space="preserve"> rozlití. Destičky se inkubují při pokojové teplotě (23 ± 2 °C) v uzavřené vlhké komoře. Bude-li pokojová teplota vyšší než 25 °C nebo nižší než 20 °C, měl by být použit inkubátor s teplotou 22 °C.</w:t>
      </w:r>
    </w:p>
    <w:p w14:paraId="5188282A" w14:textId="77777777" w:rsidR="00712CD0" w:rsidRPr="00A64992" w:rsidRDefault="00712CD0" w:rsidP="00A64992">
      <w:pPr>
        <w:pStyle w:val="Bezmezer"/>
        <w:ind w:left="426" w:firstLine="425"/>
        <w:jc w:val="both"/>
        <w:rPr>
          <w:sz w:val="20"/>
          <w:szCs w:val="20"/>
        </w:rPr>
      </w:pPr>
      <w:bookmarkStart w:id="8" w:name="bookmark9"/>
    </w:p>
    <w:p w14:paraId="20B43DE1" w14:textId="06DD4B3A" w:rsidR="00693AD2" w:rsidRPr="00A64992" w:rsidRDefault="007745CE" w:rsidP="00880FE2">
      <w:pPr>
        <w:pStyle w:val="Bezmezer"/>
        <w:ind w:firstLine="426"/>
        <w:jc w:val="both"/>
        <w:rPr>
          <w:b/>
          <w:bCs/>
        </w:rPr>
      </w:pPr>
      <w:r w:rsidRPr="00A64992">
        <w:rPr>
          <w:b/>
          <w:bCs/>
        </w:rPr>
        <w:t>Kontrola testu</w:t>
      </w:r>
      <w:bookmarkEnd w:id="8"/>
    </w:p>
    <w:p w14:paraId="3DB6A6F2" w14:textId="6FDAE486" w:rsidR="00693AD2" w:rsidRPr="00A64992" w:rsidRDefault="00EF34F2" w:rsidP="00A64992">
      <w:pPr>
        <w:pStyle w:val="Bezmezer"/>
        <w:ind w:left="426" w:firstLine="425"/>
        <w:jc w:val="both"/>
        <w:rPr>
          <w:sz w:val="20"/>
          <w:szCs w:val="20"/>
        </w:rPr>
      </w:pPr>
      <w:r w:rsidRPr="00A64992">
        <w:rPr>
          <w:sz w:val="20"/>
          <w:szCs w:val="20"/>
        </w:rPr>
        <w:t xml:space="preserve">Aby byl test platný, musí být referenční linie (mezi jamkami s pozitivním referenčním sérem a centrální jamkou s antigenem EIAV) snadno viditelné. Tyto linie by měly být jasně viditelné až k okraji jamek pro negativní vzorky. V opačném případě nelze analýzu přesně </w:t>
      </w:r>
      <w:r w:rsidR="007745CE" w:rsidRPr="00A64992">
        <w:rPr>
          <w:sz w:val="20"/>
          <w:szCs w:val="20"/>
        </w:rPr>
        <w:t>vyhodnotit</w:t>
      </w:r>
      <w:r w:rsidRPr="00A64992">
        <w:rPr>
          <w:sz w:val="20"/>
          <w:szCs w:val="20"/>
        </w:rPr>
        <w:t>.</w:t>
      </w:r>
    </w:p>
    <w:p w14:paraId="4F2EE583" w14:textId="77777777" w:rsidR="00800C0C" w:rsidRPr="00A64992" w:rsidRDefault="00800C0C" w:rsidP="00A64992">
      <w:pPr>
        <w:pStyle w:val="Bezmezer"/>
        <w:ind w:left="426" w:firstLine="425"/>
        <w:jc w:val="both"/>
        <w:rPr>
          <w:sz w:val="20"/>
          <w:szCs w:val="20"/>
        </w:rPr>
      </w:pPr>
      <w:bookmarkStart w:id="9" w:name="bookmark10"/>
    </w:p>
    <w:p w14:paraId="6E67EFB8" w14:textId="77533BED" w:rsidR="00693AD2" w:rsidRPr="00A64992" w:rsidRDefault="005C5D23" w:rsidP="00880FE2">
      <w:pPr>
        <w:pStyle w:val="Bezmezer"/>
        <w:ind w:firstLine="426"/>
        <w:jc w:val="both"/>
        <w:rPr>
          <w:b/>
          <w:bCs/>
        </w:rPr>
      </w:pPr>
      <w:r w:rsidRPr="00A64992">
        <w:rPr>
          <w:b/>
          <w:bCs/>
        </w:rPr>
        <w:t>Hodnocení</w:t>
      </w:r>
      <w:r w:rsidR="00F25648" w:rsidRPr="00A64992">
        <w:rPr>
          <w:b/>
          <w:bCs/>
        </w:rPr>
        <w:t xml:space="preserve"> výsledků</w:t>
      </w:r>
      <w:bookmarkEnd w:id="9"/>
    </w:p>
    <w:p w14:paraId="24646B5E" w14:textId="1895CC67" w:rsidR="00693AD2" w:rsidRPr="00A64992" w:rsidRDefault="005C5D23" w:rsidP="00A64992">
      <w:pPr>
        <w:pStyle w:val="Bezmezer"/>
        <w:ind w:left="426" w:firstLine="425"/>
        <w:jc w:val="both"/>
        <w:rPr>
          <w:sz w:val="20"/>
          <w:szCs w:val="20"/>
        </w:rPr>
      </w:pPr>
      <w:r w:rsidRPr="00A64992">
        <w:rPr>
          <w:sz w:val="20"/>
          <w:szCs w:val="20"/>
        </w:rPr>
        <w:t xml:space="preserve">K osvětlení při zjišťování hodnot by měl být použit intenzivní úzký paprsek světla nastavitelný pro různé polohy. Reakci je třeba pozorovat na černém pozadí. V některých případech je užitečná lupa. </w:t>
      </w:r>
      <w:r w:rsidR="00D428F3" w:rsidRPr="00A64992">
        <w:rPr>
          <w:sz w:val="20"/>
          <w:szCs w:val="20"/>
        </w:rPr>
        <w:t>Čítače</w:t>
      </w:r>
      <w:r w:rsidRPr="00A64992">
        <w:rPr>
          <w:sz w:val="20"/>
          <w:szCs w:val="20"/>
        </w:rPr>
        <w:t xml:space="preserve"> vyrobené pro pozorování obarvených </w:t>
      </w:r>
      <w:r w:rsidR="00171D94" w:rsidRPr="00A64992">
        <w:rPr>
          <w:sz w:val="20"/>
          <w:szCs w:val="20"/>
        </w:rPr>
        <w:t>imunodifúzní</w:t>
      </w:r>
      <w:r w:rsidRPr="00A64992">
        <w:rPr>
          <w:sz w:val="20"/>
          <w:szCs w:val="20"/>
        </w:rPr>
        <w:t xml:space="preserve"> reakcí nejsou pro </w:t>
      </w:r>
      <w:r w:rsidR="00D428F3" w:rsidRPr="00A64992">
        <w:rPr>
          <w:sz w:val="20"/>
          <w:szCs w:val="20"/>
        </w:rPr>
        <w:t>odečet</w:t>
      </w:r>
      <w:r w:rsidRPr="00A64992">
        <w:rPr>
          <w:sz w:val="20"/>
          <w:szCs w:val="20"/>
        </w:rPr>
        <w:t xml:space="preserve"> hodnot z tohoto testu vhodné. Pro úplnou </w:t>
      </w:r>
      <w:r w:rsidR="00FC4B28" w:rsidRPr="00A64992">
        <w:rPr>
          <w:sz w:val="20"/>
          <w:szCs w:val="20"/>
        </w:rPr>
        <w:t>imunodifúzní</w:t>
      </w:r>
      <w:r w:rsidRPr="00A64992">
        <w:rPr>
          <w:sz w:val="20"/>
          <w:szCs w:val="20"/>
        </w:rPr>
        <w:t xml:space="preserve"> reakci je zapotřebí minimálně 24 hodin. Bude-li reakce dokončena po 24 hodinách inkubace, lze</w:t>
      </w:r>
      <w:r w:rsidR="009A2114">
        <w:rPr>
          <w:sz w:val="20"/>
          <w:szCs w:val="20"/>
        </w:rPr>
        <w:t> </w:t>
      </w:r>
      <w:r w:rsidRPr="00A64992">
        <w:rPr>
          <w:sz w:val="20"/>
          <w:szCs w:val="20"/>
        </w:rPr>
        <w:t>oznámit výsledek. Reakce je dokončena, když linie pozitivní kontroly přejdou do jamky obsahující negativní vzorek</w:t>
      </w:r>
      <w:r w:rsidR="00D428F3" w:rsidRPr="00A64992">
        <w:rPr>
          <w:sz w:val="20"/>
          <w:szCs w:val="20"/>
        </w:rPr>
        <w:t xml:space="preserve"> </w:t>
      </w:r>
      <w:r w:rsidRPr="00A64992">
        <w:rPr>
          <w:sz w:val="20"/>
          <w:szCs w:val="20"/>
        </w:rPr>
        <w:t>nebo když se mezi vzorkem a pozitivním kontrolním sérem vytvoří zřetelná specifická linie identity. Některé slabě pozitivní vzorky potřebují k dokončení reakce 48 hodin. Ty by měly být před oznámením výsledků znovu otestovány. Typ reakce se liší podle koncentrace protilátky v testovaném vzorku. Referenční pozitivní kontrolní sérum je základem pro zjištění hodnot z testu. Pokud se nejedná o zřetelnou linii, je test neplatný a musí se opakovat.</w:t>
      </w:r>
    </w:p>
    <w:p w14:paraId="51A1895B" w14:textId="77777777" w:rsidR="00F25648" w:rsidRPr="00A64992" w:rsidRDefault="00F25648" w:rsidP="00A64992">
      <w:pPr>
        <w:pStyle w:val="Bezmezer"/>
        <w:ind w:left="426" w:firstLine="425"/>
        <w:jc w:val="both"/>
        <w:rPr>
          <w:sz w:val="20"/>
          <w:szCs w:val="20"/>
        </w:rPr>
      </w:pPr>
      <w:bookmarkStart w:id="10" w:name="bookmark11"/>
    </w:p>
    <w:p w14:paraId="3B77C300" w14:textId="7C85F3DE" w:rsidR="00693AD2" w:rsidRPr="00A64992" w:rsidRDefault="00D428F3" w:rsidP="00880FE2">
      <w:pPr>
        <w:pStyle w:val="Bezmezer"/>
        <w:ind w:firstLine="426"/>
        <w:jc w:val="both"/>
        <w:rPr>
          <w:b/>
          <w:bCs/>
        </w:rPr>
      </w:pPr>
      <w:r w:rsidRPr="00A64992">
        <w:rPr>
          <w:b/>
          <w:bCs/>
        </w:rPr>
        <w:t>Při testu je možné získat následující typy reakcí:</w:t>
      </w:r>
      <w:bookmarkEnd w:id="10"/>
    </w:p>
    <w:p w14:paraId="6E77AC02" w14:textId="3AC0C7F5" w:rsidR="00693AD2" w:rsidRPr="00A64992" w:rsidRDefault="00F25648" w:rsidP="00A64992">
      <w:pPr>
        <w:pStyle w:val="Bezmezer"/>
        <w:numPr>
          <w:ilvl w:val="0"/>
          <w:numId w:val="6"/>
        </w:numPr>
        <w:spacing w:after="40"/>
        <w:ind w:left="426" w:firstLine="425"/>
        <w:jc w:val="both"/>
        <w:rPr>
          <w:sz w:val="20"/>
          <w:szCs w:val="20"/>
        </w:rPr>
      </w:pPr>
      <w:r w:rsidRPr="00A64992">
        <w:rPr>
          <w:b/>
          <w:sz w:val="20"/>
          <w:szCs w:val="20"/>
        </w:rPr>
        <w:t>Negativní</w:t>
      </w:r>
      <w:r w:rsidRPr="00A64992">
        <w:rPr>
          <w:sz w:val="20"/>
          <w:szCs w:val="20"/>
        </w:rPr>
        <w:t>: Linie referenční pozitivní kontroly pokračují do jamky pro testovaný vzorek bez ohybu nebo</w:t>
      </w:r>
      <w:r w:rsidR="009A2114">
        <w:rPr>
          <w:sz w:val="20"/>
          <w:szCs w:val="20"/>
        </w:rPr>
        <w:t> </w:t>
      </w:r>
      <w:r w:rsidRPr="00A64992">
        <w:rPr>
          <w:sz w:val="20"/>
          <w:szCs w:val="20"/>
        </w:rPr>
        <w:t>s mírným ohybem směrem od jamky pro antigen (A) k pozitivnímu kontrolnímu séru (obrázek 2, S1, negativní vzorek).</w:t>
      </w:r>
    </w:p>
    <w:p w14:paraId="000ECE2E" w14:textId="1880C4B2" w:rsidR="00693AD2" w:rsidRPr="00A64992" w:rsidRDefault="00F25648" w:rsidP="00A64992">
      <w:pPr>
        <w:pStyle w:val="Bezmezer"/>
        <w:numPr>
          <w:ilvl w:val="0"/>
          <w:numId w:val="6"/>
        </w:numPr>
        <w:spacing w:after="40"/>
        <w:ind w:left="426" w:firstLine="425"/>
        <w:jc w:val="both"/>
        <w:rPr>
          <w:sz w:val="20"/>
          <w:szCs w:val="20"/>
        </w:rPr>
      </w:pPr>
      <w:r w:rsidRPr="00A64992">
        <w:rPr>
          <w:b/>
          <w:sz w:val="20"/>
          <w:szCs w:val="20"/>
        </w:rPr>
        <w:t>Pozitivní</w:t>
      </w:r>
      <w:r w:rsidRPr="00A64992">
        <w:rPr>
          <w:sz w:val="20"/>
          <w:szCs w:val="20"/>
        </w:rPr>
        <w:t>: Kontrolní linie se spojí s linií mezi testovaným sérem (S2) a antigenem (A) a vytvoří s ní souvislou linii (obrázek 2).</w:t>
      </w:r>
    </w:p>
    <w:p w14:paraId="1FB2F559" w14:textId="35499B86" w:rsidR="00F25648" w:rsidRPr="00A64992" w:rsidRDefault="00D428F3" w:rsidP="00A64992">
      <w:pPr>
        <w:pStyle w:val="Bezmezer"/>
        <w:numPr>
          <w:ilvl w:val="0"/>
          <w:numId w:val="6"/>
        </w:numPr>
        <w:spacing w:after="40"/>
        <w:ind w:left="426" w:firstLine="425"/>
        <w:jc w:val="both"/>
        <w:rPr>
          <w:sz w:val="20"/>
          <w:szCs w:val="20"/>
        </w:rPr>
      </w:pPr>
      <w:r w:rsidRPr="00A64992">
        <w:rPr>
          <w:b/>
          <w:sz w:val="20"/>
          <w:szCs w:val="20"/>
        </w:rPr>
        <w:t>Hraniční</w:t>
      </w:r>
      <w:r w:rsidR="00F25648" w:rsidRPr="00A64992">
        <w:rPr>
          <w:b/>
          <w:sz w:val="20"/>
          <w:szCs w:val="20"/>
        </w:rPr>
        <w:t>:</w:t>
      </w:r>
      <w:r w:rsidR="00F25648" w:rsidRPr="00A64992">
        <w:rPr>
          <w:sz w:val="20"/>
          <w:szCs w:val="20"/>
        </w:rPr>
        <w:t xml:space="preserve"> Linie referenční pozitivní kontroly se mírně ohýbají směrem k jamce s antigenem (A) a</w:t>
      </w:r>
      <w:r w:rsidR="009A2114">
        <w:rPr>
          <w:sz w:val="20"/>
          <w:szCs w:val="20"/>
        </w:rPr>
        <w:t> </w:t>
      </w:r>
      <w:r w:rsidR="00F25648" w:rsidRPr="00A64992">
        <w:rPr>
          <w:sz w:val="20"/>
          <w:szCs w:val="20"/>
        </w:rPr>
        <w:t>od</w:t>
      </w:r>
      <w:r w:rsidR="009A2114">
        <w:rPr>
          <w:sz w:val="20"/>
          <w:szCs w:val="20"/>
        </w:rPr>
        <w:t> </w:t>
      </w:r>
      <w:r w:rsidR="00F25648" w:rsidRPr="00A64992">
        <w:rPr>
          <w:sz w:val="20"/>
          <w:szCs w:val="20"/>
        </w:rPr>
        <w:t>jamek s referenčním pozitivním kontrolním sérem (R), ale netvoří úplnou linii mezi antigenem (A) a</w:t>
      </w:r>
      <w:r w:rsidR="009A2114">
        <w:rPr>
          <w:sz w:val="20"/>
          <w:szCs w:val="20"/>
        </w:rPr>
        <w:t> </w:t>
      </w:r>
      <w:r w:rsidR="00F25648" w:rsidRPr="00A64992">
        <w:rPr>
          <w:sz w:val="20"/>
          <w:szCs w:val="20"/>
        </w:rPr>
        <w:t>testovacím sérem (S3) (obrázek 2). Tyto reakce vyžadují pečlivé pozorování a lze je snadno přehlédnout. Všechny slabě pozitivní vzorky by měly být před oznámením výsledků znovu testovány.</w:t>
      </w:r>
    </w:p>
    <w:p w14:paraId="53085B27" w14:textId="06E585B1" w:rsidR="00693AD2" w:rsidRPr="00A64992" w:rsidRDefault="00EF34F2" w:rsidP="00A64992">
      <w:pPr>
        <w:pStyle w:val="Bezmezer"/>
        <w:spacing w:after="40"/>
        <w:ind w:left="426" w:firstLine="425"/>
        <w:jc w:val="both"/>
        <w:rPr>
          <w:sz w:val="20"/>
          <w:szCs w:val="20"/>
        </w:rPr>
      </w:pPr>
      <w:r w:rsidRPr="00A64992">
        <w:rPr>
          <w:sz w:val="20"/>
          <w:szCs w:val="20"/>
        </w:rPr>
        <w:t xml:space="preserve">Slabé </w:t>
      </w:r>
      <w:r w:rsidR="00A64992" w:rsidRPr="00A64992">
        <w:rPr>
          <w:sz w:val="20"/>
          <w:szCs w:val="20"/>
        </w:rPr>
        <w:t>imunodifúzní</w:t>
      </w:r>
      <w:r w:rsidRPr="00A64992">
        <w:rPr>
          <w:sz w:val="20"/>
          <w:szCs w:val="20"/>
        </w:rPr>
        <w:t xml:space="preserve"> reakce byly pozorovány ve třech typech případů:</w:t>
      </w:r>
    </w:p>
    <w:p w14:paraId="029DD9F7" w14:textId="6109FAFD" w:rsidR="00693AD2" w:rsidRPr="00A64992" w:rsidRDefault="00F25648" w:rsidP="00A64992">
      <w:pPr>
        <w:pStyle w:val="Bezmezer"/>
        <w:spacing w:after="40"/>
        <w:ind w:left="426" w:firstLine="425"/>
        <w:jc w:val="both"/>
        <w:rPr>
          <w:sz w:val="20"/>
          <w:szCs w:val="20"/>
        </w:rPr>
      </w:pPr>
      <w:r w:rsidRPr="00A64992">
        <w:rPr>
          <w:sz w:val="20"/>
          <w:szCs w:val="20"/>
        </w:rPr>
        <w:t>a) Hříb</w:t>
      </w:r>
      <w:r w:rsidR="004F4622" w:rsidRPr="00A64992">
        <w:rPr>
          <w:sz w:val="20"/>
          <w:szCs w:val="20"/>
        </w:rPr>
        <w:t xml:space="preserve">ě kojené </w:t>
      </w:r>
      <w:r w:rsidRPr="00A64992">
        <w:rPr>
          <w:sz w:val="20"/>
          <w:szCs w:val="20"/>
        </w:rPr>
        <w:t>infikov</w:t>
      </w:r>
      <w:r w:rsidR="004F4622" w:rsidRPr="00A64992">
        <w:rPr>
          <w:sz w:val="20"/>
          <w:szCs w:val="20"/>
        </w:rPr>
        <w:t>anou</w:t>
      </w:r>
      <w:r w:rsidRPr="00A64992">
        <w:rPr>
          <w:sz w:val="20"/>
          <w:szCs w:val="20"/>
        </w:rPr>
        <w:t xml:space="preserve"> klisn</w:t>
      </w:r>
      <w:r w:rsidR="004F4622" w:rsidRPr="00A64992">
        <w:rPr>
          <w:sz w:val="20"/>
          <w:szCs w:val="20"/>
        </w:rPr>
        <w:t>ou</w:t>
      </w:r>
      <w:r w:rsidRPr="00A64992">
        <w:rPr>
          <w:sz w:val="20"/>
          <w:szCs w:val="20"/>
        </w:rPr>
        <w:t xml:space="preserve"> </w:t>
      </w:r>
      <w:r w:rsidR="004F4622" w:rsidRPr="00A64992">
        <w:rPr>
          <w:sz w:val="20"/>
          <w:szCs w:val="20"/>
        </w:rPr>
        <w:t>má</w:t>
      </w:r>
      <w:r w:rsidRPr="00A64992">
        <w:rPr>
          <w:sz w:val="20"/>
          <w:szCs w:val="20"/>
        </w:rPr>
        <w:t xml:space="preserve"> v důsledku kolostrálních protilátek slabé až poměrně silné reakce, jež mohou přetrvávat až do 5 měsíců věku. Pokud jsou klisna i hříbě pozitivní, mělo by být hříbě ve věku 6 měsíců znovu testováno, aby se zjistilo, zda je negativní. Jestliže je klisna negativní, její pozitivní hříbě by mělo být považováno za nakažené.</w:t>
      </w:r>
    </w:p>
    <w:p w14:paraId="7CBF7DF7" w14:textId="2C8DEA06" w:rsidR="00693AD2" w:rsidRPr="00A64992" w:rsidRDefault="00F25648" w:rsidP="00A64992">
      <w:pPr>
        <w:pStyle w:val="Bezmezer"/>
        <w:spacing w:after="40"/>
        <w:ind w:left="426" w:firstLine="425"/>
        <w:jc w:val="both"/>
        <w:rPr>
          <w:sz w:val="20"/>
          <w:szCs w:val="20"/>
        </w:rPr>
      </w:pPr>
      <w:r w:rsidRPr="00A64992">
        <w:rPr>
          <w:sz w:val="20"/>
          <w:szCs w:val="20"/>
        </w:rPr>
        <w:t>b) Během inkubační doby EIA byly pozorovány slabě pozitivní výsledky. Pokud se druhý vzorek odebere o</w:t>
      </w:r>
      <w:r w:rsidR="009A2114">
        <w:rPr>
          <w:sz w:val="20"/>
          <w:szCs w:val="20"/>
        </w:rPr>
        <w:t> </w:t>
      </w:r>
      <w:r w:rsidRPr="00A64992">
        <w:rPr>
          <w:sz w:val="20"/>
          <w:szCs w:val="20"/>
        </w:rPr>
        <w:t>dva až tři týdny později, měla by být reakce silnější.</w:t>
      </w:r>
    </w:p>
    <w:p w14:paraId="59507780" w14:textId="5A439B15" w:rsidR="00693AD2" w:rsidRPr="00A64992" w:rsidRDefault="00F25648" w:rsidP="00A64992">
      <w:pPr>
        <w:pStyle w:val="Bezmezer"/>
        <w:spacing w:after="40"/>
        <w:ind w:left="426" w:firstLine="425"/>
        <w:jc w:val="both"/>
        <w:rPr>
          <w:sz w:val="20"/>
          <w:szCs w:val="20"/>
        </w:rPr>
      </w:pPr>
      <w:r w:rsidRPr="00A64992">
        <w:rPr>
          <w:sz w:val="20"/>
          <w:szCs w:val="20"/>
        </w:rPr>
        <w:t xml:space="preserve">c) U nepůvodních přenašečů, u nichž se po dlouhou dobu nevyskytují žádné klinické příznaky EIA, může být reakce v testu slabá. V těchto případech vede opakovaná zkouška jen zřídka ke změně </w:t>
      </w:r>
      <w:r w:rsidR="004F4622" w:rsidRPr="00A64992">
        <w:rPr>
          <w:sz w:val="20"/>
          <w:szCs w:val="20"/>
        </w:rPr>
        <w:t>v intenzitě reakce</w:t>
      </w:r>
      <w:r w:rsidRPr="00A64992">
        <w:rPr>
          <w:sz w:val="20"/>
          <w:szCs w:val="20"/>
        </w:rPr>
        <w:t>.</w:t>
      </w:r>
    </w:p>
    <w:p w14:paraId="7F054356" w14:textId="1602E3F8" w:rsidR="00171D94" w:rsidRDefault="004F4622" w:rsidP="00A64992">
      <w:pPr>
        <w:pStyle w:val="Bezmezer"/>
        <w:spacing w:after="40"/>
        <w:ind w:left="426" w:firstLine="425"/>
        <w:jc w:val="both"/>
        <w:rPr>
          <w:sz w:val="20"/>
          <w:szCs w:val="20"/>
        </w:rPr>
      </w:pPr>
      <w:r w:rsidRPr="00A64992">
        <w:rPr>
          <w:b/>
          <w:bCs/>
          <w:sz w:val="20"/>
          <w:szCs w:val="20"/>
        </w:rPr>
        <w:t xml:space="preserve">4) </w:t>
      </w:r>
      <w:r w:rsidR="00F25648" w:rsidRPr="00A64992">
        <w:rPr>
          <w:b/>
          <w:bCs/>
          <w:sz w:val="20"/>
          <w:szCs w:val="20"/>
        </w:rPr>
        <w:t>Velmi</w:t>
      </w:r>
      <w:r w:rsidR="00F25648" w:rsidRPr="00A64992">
        <w:rPr>
          <w:b/>
          <w:sz w:val="20"/>
          <w:szCs w:val="20"/>
        </w:rPr>
        <w:t xml:space="preserve"> sil</w:t>
      </w:r>
      <w:r w:rsidRPr="00A64992">
        <w:rPr>
          <w:b/>
          <w:sz w:val="20"/>
          <w:szCs w:val="20"/>
        </w:rPr>
        <w:t>ně pozitivní</w:t>
      </w:r>
      <w:r w:rsidR="00F25648" w:rsidRPr="00A64992">
        <w:rPr>
          <w:sz w:val="20"/>
          <w:szCs w:val="20"/>
        </w:rPr>
        <w:t xml:space="preserve">: Linie referenční pozitivní kontroly se stáčejí směrem k jamce s antigenem dříve, než dosáhnou jamky obsahující testovací sérum (S1), a mezi testovacím sérem (S1) a antigenem (A) je široká, </w:t>
      </w:r>
      <w:r w:rsidR="00F25648" w:rsidRPr="00A64992">
        <w:rPr>
          <w:sz w:val="20"/>
          <w:szCs w:val="20"/>
        </w:rPr>
        <w:lastRenderedPageBreak/>
        <w:t>nejasná linie (obrázek 3). Tato linie se nachází velmi blízko jamky s antigenem (A), zejména pokud je destička pozorována po 24 hodinách.</w:t>
      </w:r>
    </w:p>
    <w:p w14:paraId="113D7434" w14:textId="426415AC" w:rsidR="00FF7C42" w:rsidRDefault="004F4622" w:rsidP="00A64992">
      <w:pPr>
        <w:pStyle w:val="Bezmezer"/>
        <w:spacing w:after="40"/>
        <w:ind w:left="426" w:firstLine="425"/>
        <w:jc w:val="both"/>
        <w:rPr>
          <w:sz w:val="20"/>
          <w:szCs w:val="20"/>
        </w:rPr>
      </w:pPr>
      <w:r w:rsidRPr="00A64992">
        <w:rPr>
          <w:b/>
          <w:bCs/>
          <w:sz w:val="20"/>
          <w:szCs w:val="20"/>
        </w:rPr>
        <w:t xml:space="preserve">5) </w:t>
      </w:r>
      <w:r w:rsidR="00F25648" w:rsidRPr="00A64992">
        <w:rPr>
          <w:b/>
          <w:bCs/>
          <w:sz w:val="20"/>
          <w:szCs w:val="20"/>
        </w:rPr>
        <w:t>Nespecifické</w:t>
      </w:r>
      <w:r w:rsidR="00F25648" w:rsidRPr="00A64992">
        <w:rPr>
          <w:b/>
          <w:sz w:val="20"/>
          <w:szCs w:val="20"/>
        </w:rPr>
        <w:t xml:space="preserve"> linie</w:t>
      </w:r>
      <w:r w:rsidR="00F25648" w:rsidRPr="00A64992">
        <w:rPr>
          <w:sz w:val="20"/>
          <w:szCs w:val="20"/>
        </w:rPr>
        <w:t xml:space="preserve">: Tyto linie jsou pozorovány mezi jamkou s antigenem a testovacím sérem. Referenční pozitivní kontrolní linie však projdou nespecifickou linií a pokračují do jamky testovacího séra negativních sér (není zobrazeno). Nespecifická linie netvoří souvislou linii s referenčními pozitivními kontrolními liniemi. </w:t>
      </w:r>
    </w:p>
    <w:p w14:paraId="225FC3D9" w14:textId="67CE3248" w:rsidR="00FC4B28" w:rsidRDefault="00F25648" w:rsidP="00FF7C42">
      <w:pPr>
        <w:pStyle w:val="Bezmezer"/>
        <w:spacing w:after="40"/>
        <w:ind w:left="426" w:firstLine="425"/>
        <w:jc w:val="both"/>
        <w:rPr>
          <w:sz w:val="20"/>
          <w:szCs w:val="20"/>
        </w:rPr>
      </w:pPr>
      <w:r w:rsidRPr="00A64992">
        <w:rPr>
          <w:sz w:val="20"/>
          <w:szCs w:val="20"/>
        </w:rPr>
        <w:t>Referenční pozitivní kontrolní linie budou tvořit ostřejší úhly s nespecifickou linií než s linií identity specifickou pro EIAV. Nespecifické linie jsou tvořeny reakcí vzorku s protilátkou s jinými antigeny než EIAV p26. Vzorek séra může produkovat specifickou linii EIAV i nespecifickou linii (obrázek 3, S2). Je třeba dbát na to, aby specifická reakce nebyla zastřena linií, jež netvoří součást EIAV. Opakované testování takových vzorků a pozorování reakcí v častých intervalech může usnadnit určení, zda jsou vzorky pozitivní nebo negativní.</w:t>
      </w:r>
      <w:r w:rsidR="00FF7C42">
        <w:rPr>
          <w:sz w:val="20"/>
          <w:szCs w:val="20"/>
        </w:rPr>
        <w:t xml:space="preserve"> </w:t>
      </w:r>
    </w:p>
    <w:p w14:paraId="0AA7F2F1" w14:textId="77777777" w:rsidR="00693AD2" w:rsidRPr="00A64992" w:rsidRDefault="00693AD2" w:rsidP="00A64992">
      <w:pPr>
        <w:pStyle w:val="Bezmezer"/>
        <w:spacing w:after="40"/>
        <w:ind w:left="426" w:firstLine="425"/>
        <w:jc w:val="both"/>
        <w:rPr>
          <w:sz w:val="20"/>
          <w:szCs w:val="20"/>
        </w:rPr>
      </w:pPr>
    </w:p>
    <w:p w14:paraId="6496A755" w14:textId="17232C6A" w:rsidR="00693AD2" w:rsidRPr="00A64992" w:rsidRDefault="004F4622" w:rsidP="00A64992">
      <w:pPr>
        <w:pStyle w:val="Bezmezer"/>
        <w:ind w:left="426" w:firstLine="425"/>
        <w:jc w:val="both"/>
        <w:rPr>
          <w:sz w:val="20"/>
          <w:szCs w:val="20"/>
        </w:rPr>
      </w:pPr>
      <w:r w:rsidRPr="00A64992">
        <w:rPr>
          <w:b/>
          <w:bCs/>
          <w:sz w:val="20"/>
          <w:szCs w:val="20"/>
        </w:rPr>
        <w:t xml:space="preserve">6) </w:t>
      </w:r>
      <w:r w:rsidR="00F25648" w:rsidRPr="00A64992">
        <w:rPr>
          <w:b/>
          <w:bCs/>
          <w:sz w:val="20"/>
          <w:szCs w:val="20"/>
        </w:rPr>
        <w:t>Závoj kolem j</w:t>
      </w:r>
      <w:r w:rsidRPr="00A64992">
        <w:rPr>
          <w:b/>
          <w:bCs/>
          <w:sz w:val="20"/>
          <w:szCs w:val="20"/>
        </w:rPr>
        <w:t>a</w:t>
      </w:r>
      <w:r w:rsidR="00F25648" w:rsidRPr="00A64992">
        <w:rPr>
          <w:b/>
          <w:bCs/>
          <w:sz w:val="20"/>
          <w:szCs w:val="20"/>
        </w:rPr>
        <w:t>mky</w:t>
      </w:r>
      <w:r w:rsidR="00F25648" w:rsidRPr="00A64992">
        <w:rPr>
          <w:sz w:val="20"/>
          <w:szCs w:val="20"/>
        </w:rPr>
        <w:t xml:space="preserve">: </w:t>
      </w:r>
      <w:r w:rsidRPr="00A64992">
        <w:rPr>
          <w:sz w:val="20"/>
          <w:szCs w:val="20"/>
        </w:rPr>
        <w:t>V některých případech</w:t>
      </w:r>
      <w:r w:rsidR="00F25648" w:rsidRPr="00A64992">
        <w:rPr>
          <w:sz w:val="20"/>
          <w:szCs w:val="20"/>
        </w:rPr>
        <w:t xml:space="preserve"> se kolem jamky pro testovací sérum vytvoří závoj způsobený lipidy nebo </w:t>
      </w:r>
      <w:r w:rsidRPr="00A64992">
        <w:rPr>
          <w:sz w:val="20"/>
          <w:szCs w:val="20"/>
        </w:rPr>
        <w:t>jinými složkami krevního séra</w:t>
      </w:r>
      <w:r w:rsidR="00F25648" w:rsidRPr="00A64992">
        <w:rPr>
          <w:sz w:val="20"/>
          <w:szCs w:val="20"/>
        </w:rPr>
        <w:t>, který může zakrýt linie referenční pozitivní kontroly v blízkosti jamky vzorku (obrázek 3, S3). Poku</w:t>
      </w:r>
      <w:r w:rsidR="00FC4B28">
        <w:rPr>
          <w:sz w:val="20"/>
          <w:szCs w:val="20"/>
        </w:rPr>
        <w:t xml:space="preserve">d se </w:t>
      </w:r>
      <w:r w:rsidR="00F25648" w:rsidRPr="00A64992">
        <w:rPr>
          <w:sz w:val="20"/>
          <w:szCs w:val="20"/>
        </w:rPr>
        <w:t>test odečítá po 24 a 48 hodinách, lze někdy výsledky určit dříve, než reakci zakryje závoj. V některých případech však nelze stanovení provést a je třeba požádat o další vzorek.</w:t>
      </w:r>
    </w:p>
    <w:p w14:paraId="78E8F95C" w14:textId="552AB4A0" w:rsidR="00FC4B28" w:rsidRDefault="00EF34F2" w:rsidP="00A64992">
      <w:pPr>
        <w:pStyle w:val="Bezmezer"/>
        <w:ind w:left="426" w:firstLine="425"/>
        <w:jc w:val="both"/>
        <w:rPr>
          <w:sz w:val="20"/>
          <w:szCs w:val="20"/>
        </w:rPr>
      </w:pPr>
      <w:r w:rsidRPr="00A64992">
        <w:rPr>
          <w:sz w:val="20"/>
          <w:szCs w:val="20"/>
        </w:rPr>
        <w:t xml:space="preserve">Všechny pozitivní výsledky by měly být před nahlášením výsledků potvrzeny opakovaným testováním. Vzorky, u nichž se objeví </w:t>
      </w:r>
      <w:r w:rsidR="004F4622" w:rsidRPr="00A64992">
        <w:rPr>
          <w:sz w:val="20"/>
          <w:szCs w:val="20"/>
        </w:rPr>
        <w:t>hraniční</w:t>
      </w:r>
      <w:r w:rsidRPr="00A64992">
        <w:rPr>
          <w:sz w:val="20"/>
          <w:szCs w:val="20"/>
        </w:rPr>
        <w:t xml:space="preserve"> reakce, by měly být před nahlášením výsledků znovu dvakrát testovány.</w:t>
      </w:r>
    </w:p>
    <w:p w14:paraId="2CC014B3" w14:textId="77777777" w:rsidR="00FC4B28" w:rsidRDefault="00FC4B28" w:rsidP="00A64992">
      <w:pPr>
        <w:pStyle w:val="Bezmezer"/>
        <w:ind w:left="426" w:firstLine="425"/>
        <w:jc w:val="both"/>
        <w:rPr>
          <w:sz w:val="20"/>
          <w:szCs w:val="20"/>
        </w:rPr>
      </w:pPr>
    </w:p>
    <w:p w14:paraId="00123292" w14:textId="1C4A4282" w:rsidR="00FF7C42" w:rsidRPr="00A64992" w:rsidRDefault="00FF7C42" w:rsidP="00396098">
      <w:pPr>
        <w:pStyle w:val="Zkladntext40"/>
        <w:framePr w:h="265" w:hRule="exact" w:wrap="none" w:vAnchor="page" w:hAnchor="page" w:x="8033" w:y="5687"/>
        <w:shd w:val="clear" w:color="auto" w:fill="auto"/>
        <w:spacing w:before="0" w:after="0" w:line="240" w:lineRule="auto"/>
        <w:jc w:val="left"/>
        <w:rPr>
          <w:sz w:val="20"/>
          <w:szCs w:val="20"/>
        </w:rPr>
      </w:pPr>
      <w:r w:rsidRPr="00A64992">
        <w:rPr>
          <w:sz w:val="20"/>
          <w:szCs w:val="20"/>
        </w:rPr>
        <w:t>Obrázek 3</w:t>
      </w:r>
    </w:p>
    <w:p w14:paraId="3C1B71EE" w14:textId="77777777" w:rsidR="00880FBF" w:rsidRPr="00A64992" w:rsidRDefault="00880FBF" w:rsidP="00396098">
      <w:pPr>
        <w:pStyle w:val="Zkladntext40"/>
        <w:framePr w:wrap="none" w:vAnchor="page" w:hAnchor="page" w:x="4620" w:y="5742"/>
        <w:shd w:val="clear" w:color="auto" w:fill="auto"/>
        <w:spacing w:before="0" w:after="0" w:line="240" w:lineRule="auto"/>
        <w:jc w:val="left"/>
        <w:rPr>
          <w:sz w:val="20"/>
          <w:szCs w:val="20"/>
        </w:rPr>
      </w:pPr>
      <w:r w:rsidRPr="00A64992">
        <w:rPr>
          <w:sz w:val="20"/>
          <w:szCs w:val="20"/>
        </w:rPr>
        <w:t>Obrázek 2</w:t>
      </w:r>
    </w:p>
    <w:p w14:paraId="34F63CE6" w14:textId="77777777" w:rsidR="00FC4B28" w:rsidRDefault="00FC4B28" w:rsidP="00A64992">
      <w:pPr>
        <w:pStyle w:val="Bezmezer"/>
        <w:ind w:left="426" w:firstLine="425"/>
        <w:jc w:val="both"/>
        <w:rPr>
          <w:sz w:val="20"/>
          <w:szCs w:val="20"/>
        </w:rPr>
      </w:pPr>
    </w:p>
    <w:p w14:paraId="73D2D6ED" w14:textId="77777777" w:rsidR="00880FBF" w:rsidRPr="00A64992" w:rsidRDefault="00880FBF" w:rsidP="00396098">
      <w:pPr>
        <w:pStyle w:val="Zkladntext40"/>
        <w:framePr w:w="1140" w:wrap="around" w:vAnchor="page" w:hAnchor="page" w:x="1320" w:y="5826"/>
        <w:shd w:val="clear" w:color="auto" w:fill="auto"/>
        <w:spacing w:before="0" w:after="0" w:line="240" w:lineRule="auto"/>
        <w:ind w:left="142" w:hanging="142"/>
        <w:jc w:val="left"/>
        <w:rPr>
          <w:sz w:val="20"/>
          <w:szCs w:val="20"/>
        </w:rPr>
      </w:pPr>
      <w:r w:rsidRPr="00A64992">
        <w:rPr>
          <w:sz w:val="20"/>
          <w:szCs w:val="20"/>
        </w:rPr>
        <w:t>Obrázek 1</w:t>
      </w:r>
    </w:p>
    <w:p w14:paraId="24146AD6" w14:textId="5FE6D13F" w:rsidR="00FC4B28" w:rsidRDefault="00FC4B28" w:rsidP="00A64992">
      <w:pPr>
        <w:pStyle w:val="Bezmezer"/>
        <w:ind w:left="426" w:firstLine="425"/>
        <w:jc w:val="both"/>
        <w:rPr>
          <w:sz w:val="20"/>
          <w:szCs w:val="20"/>
        </w:rPr>
      </w:pPr>
      <w:r w:rsidRPr="00A64992">
        <w:rPr>
          <w:noProof/>
          <w:sz w:val="20"/>
          <w:szCs w:val="20"/>
        </w:rPr>
        <w:drawing>
          <wp:anchor distT="0" distB="0" distL="114300" distR="114300" simplePos="0" relativeHeight="251658753" behindDoc="0" locked="0" layoutInCell="1" allowOverlap="1" wp14:anchorId="168A7FF7" wp14:editId="0F3593A9">
            <wp:simplePos x="0" y="0"/>
            <wp:positionH relativeFrom="column">
              <wp:posOffset>1043305</wp:posOffset>
            </wp:positionH>
            <wp:positionV relativeFrom="paragraph">
              <wp:posOffset>141605</wp:posOffset>
            </wp:positionV>
            <wp:extent cx="4865077" cy="11430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5077" cy="1143000"/>
                    </a:xfrm>
                    <a:prstGeom prst="rect">
                      <a:avLst/>
                    </a:prstGeom>
                    <a:noFill/>
                  </pic:spPr>
                </pic:pic>
              </a:graphicData>
            </a:graphic>
            <wp14:sizeRelH relativeFrom="margin">
              <wp14:pctWidth>0</wp14:pctWidth>
            </wp14:sizeRelH>
            <wp14:sizeRelV relativeFrom="margin">
              <wp14:pctHeight>0</wp14:pctHeight>
            </wp14:sizeRelV>
          </wp:anchor>
        </w:drawing>
      </w:r>
    </w:p>
    <w:p w14:paraId="1E6C83A9" w14:textId="45F28601" w:rsidR="00FC4B28" w:rsidRDefault="00FC4B28" w:rsidP="00A64992">
      <w:pPr>
        <w:pStyle w:val="Bezmezer"/>
        <w:ind w:left="426" w:firstLine="425"/>
        <w:jc w:val="both"/>
        <w:rPr>
          <w:sz w:val="20"/>
          <w:szCs w:val="20"/>
        </w:rPr>
      </w:pPr>
    </w:p>
    <w:p w14:paraId="5D447DB8" w14:textId="77777777" w:rsidR="00FC4B28" w:rsidRDefault="00FC4B28" w:rsidP="00A64992">
      <w:pPr>
        <w:pStyle w:val="Bezmezer"/>
        <w:ind w:left="426" w:firstLine="425"/>
        <w:jc w:val="both"/>
        <w:rPr>
          <w:sz w:val="20"/>
          <w:szCs w:val="20"/>
        </w:rPr>
      </w:pPr>
    </w:p>
    <w:p w14:paraId="0B7F579D" w14:textId="64B8D868" w:rsidR="00FC4B28" w:rsidRDefault="00FC4B28" w:rsidP="00A64992">
      <w:pPr>
        <w:pStyle w:val="Bezmezer"/>
        <w:ind w:left="426" w:firstLine="425"/>
        <w:jc w:val="both"/>
        <w:rPr>
          <w:sz w:val="20"/>
          <w:szCs w:val="20"/>
        </w:rPr>
      </w:pPr>
    </w:p>
    <w:p w14:paraId="4D9DEAA2" w14:textId="77777777" w:rsidR="00FC4B28" w:rsidRDefault="00FC4B28" w:rsidP="00A64992">
      <w:pPr>
        <w:pStyle w:val="Bezmezer"/>
        <w:ind w:left="426" w:firstLine="425"/>
        <w:jc w:val="both"/>
        <w:rPr>
          <w:sz w:val="20"/>
          <w:szCs w:val="20"/>
        </w:rPr>
      </w:pPr>
    </w:p>
    <w:p w14:paraId="5902DD84" w14:textId="77777777" w:rsidR="00FC4B28" w:rsidRDefault="00FC4B28" w:rsidP="00A64992">
      <w:pPr>
        <w:pStyle w:val="Bezmezer"/>
        <w:ind w:left="426" w:firstLine="425"/>
        <w:jc w:val="both"/>
        <w:rPr>
          <w:sz w:val="20"/>
          <w:szCs w:val="20"/>
        </w:rPr>
      </w:pPr>
    </w:p>
    <w:p w14:paraId="32EF4CED" w14:textId="77777777" w:rsidR="00FC4B28" w:rsidRDefault="00FC4B28" w:rsidP="00A64992">
      <w:pPr>
        <w:pStyle w:val="Bezmezer"/>
        <w:ind w:left="426" w:firstLine="425"/>
        <w:jc w:val="both"/>
        <w:rPr>
          <w:sz w:val="20"/>
          <w:szCs w:val="20"/>
        </w:rPr>
      </w:pPr>
    </w:p>
    <w:p w14:paraId="046A3691" w14:textId="77777777" w:rsidR="00FC4B28" w:rsidRPr="00A64992" w:rsidRDefault="00FC4B28" w:rsidP="00A64992">
      <w:pPr>
        <w:pStyle w:val="Bezmezer"/>
        <w:ind w:left="426" w:firstLine="425"/>
        <w:jc w:val="both"/>
        <w:rPr>
          <w:sz w:val="20"/>
          <w:szCs w:val="20"/>
        </w:rPr>
      </w:pPr>
    </w:p>
    <w:p w14:paraId="7FE5D997" w14:textId="07DF6D2E" w:rsidR="00F25648" w:rsidRPr="00A64992" w:rsidRDefault="00F25648" w:rsidP="00A64992">
      <w:pPr>
        <w:ind w:left="426" w:firstLine="425"/>
        <w:rPr>
          <w:sz w:val="20"/>
          <w:szCs w:val="20"/>
        </w:rPr>
      </w:pPr>
    </w:p>
    <w:p w14:paraId="76D5ED73" w14:textId="77777777" w:rsidR="00F25648" w:rsidRDefault="00F25648" w:rsidP="00A64992">
      <w:pPr>
        <w:pStyle w:val="Bezmezer"/>
        <w:ind w:left="426" w:firstLine="425"/>
        <w:jc w:val="both"/>
        <w:rPr>
          <w:sz w:val="13"/>
          <w:szCs w:val="13"/>
        </w:rPr>
      </w:pPr>
    </w:p>
    <w:p w14:paraId="7F875977" w14:textId="77777777" w:rsidR="00F25648" w:rsidRPr="00A64992" w:rsidRDefault="00F25648" w:rsidP="00A64992">
      <w:pPr>
        <w:pStyle w:val="Bezmezer"/>
        <w:ind w:left="426" w:firstLine="425"/>
        <w:jc w:val="both"/>
        <w:rPr>
          <w:sz w:val="20"/>
          <w:szCs w:val="20"/>
        </w:rPr>
      </w:pPr>
    </w:p>
    <w:p w14:paraId="6DA82608" w14:textId="102B8819" w:rsidR="00880FBF" w:rsidRPr="00A64992" w:rsidRDefault="00F25648" w:rsidP="00880FBF">
      <w:pPr>
        <w:pStyle w:val="Bezmezer"/>
        <w:ind w:left="426" w:firstLine="425"/>
        <w:jc w:val="both"/>
        <w:rPr>
          <w:sz w:val="20"/>
          <w:szCs w:val="20"/>
        </w:rPr>
      </w:pPr>
      <w:r w:rsidRPr="00A64992">
        <w:rPr>
          <w:sz w:val="20"/>
          <w:szCs w:val="20"/>
        </w:rPr>
        <w:t xml:space="preserve">Obecně se má za to, že koně infikovaní EIAV jsou nositeli viru po celý život. Infikovaní koně nemusí vykazovat klinické příznaky po několik měsíců nebo let, ale stále mají v krvi infekční virus EIA. Proto by měl být každý dospělý kůň, který má pozitivní výsledek </w:t>
      </w:r>
      <w:r w:rsidR="00FE1C3A" w:rsidRPr="00A64992">
        <w:rPr>
          <w:sz w:val="20"/>
          <w:szCs w:val="20"/>
        </w:rPr>
        <w:t>EIA</w:t>
      </w:r>
      <w:r w:rsidRPr="00A64992">
        <w:rPr>
          <w:sz w:val="20"/>
          <w:szCs w:val="20"/>
        </w:rPr>
        <w:t xml:space="preserve"> testu, považován za nakaženého.</w:t>
      </w:r>
    </w:p>
    <w:p w14:paraId="3154C3CB" w14:textId="77777777" w:rsidR="00F25648" w:rsidRPr="00A64992" w:rsidRDefault="00F25648" w:rsidP="00A64992">
      <w:pPr>
        <w:pStyle w:val="Bezmezer"/>
        <w:ind w:left="426" w:firstLine="425"/>
        <w:jc w:val="both"/>
        <w:rPr>
          <w:sz w:val="20"/>
          <w:szCs w:val="20"/>
        </w:rPr>
      </w:pPr>
      <w:bookmarkStart w:id="11" w:name="bookmark12"/>
    </w:p>
    <w:p w14:paraId="143BD9E0" w14:textId="49ACB7DE" w:rsidR="00F25648" w:rsidRPr="00A64992" w:rsidRDefault="00F25648" w:rsidP="00A64992">
      <w:pPr>
        <w:pStyle w:val="Bezmezer"/>
        <w:ind w:left="426"/>
        <w:jc w:val="both"/>
        <w:rPr>
          <w:b/>
          <w:bCs/>
        </w:rPr>
      </w:pPr>
      <w:r w:rsidRPr="00A64992">
        <w:rPr>
          <w:b/>
          <w:bCs/>
        </w:rPr>
        <w:t>Poznámk</w:t>
      </w:r>
      <w:r w:rsidR="00FE1C3A" w:rsidRPr="00A64992">
        <w:rPr>
          <w:b/>
          <w:bCs/>
        </w:rPr>
        <w:t>a</w:t>
      </w:r>
      <w:r w:rsidRPr="00A64992">
        <w:rPr>
          <w:b/>
          <w:bCs/>
        </w:rPr>
        <w:t xml:space="preserve"> pro zákazníky v USA:</w:t>
      </w:r>
      <w:bookmarkEnd w:id="11"/>
    </w:p>
    <w:p w14:paraId="57222131" w14:textId="4FDAD593" w:rsidR="00F25648" w:rsidRPr="00A64992" w:rsidRDefault="00F25648" w:rsidP="00A64992">
      <w:pPr>
        <w:pStyle w:val="Bezmezer"/>
        <w:ind w:left="426" w:firstLine="425"/>
        <w:jc w:val="both"/>
        <w:rPr>
          <w:sz w:val="20"/>
          <w:szCs w:val="20"/>
        </w:rPr>
      </w:pPr>
      <w:r w:rsidRPr="00A64992">
        <w:rPr>
          <w:sz w:val="20"/>
          <w:szCs w:val="20"/>
        </w:rPr>
        <w:t>Prodej a použití v USA je omezeno na laboratoře schválené státními a federálními veterinárními úředníky (USDA). Národní laboratoře veterinárních služeb budou pravidelně dodávat vzorky kódovaných kontrolních testů k vyhodnocení způsobilosti laboratoří schválených USDA. Jakýkoli sporný vzorek by měl být zaslán k ověření do</w:t>
      </w:r>
      <w:r w:rsidR="009A2114">
        <w:rPr>
          <w:sz w:val="20"/>
          <w:szCs w:val="20"/>
        </w:rPr>
        <w:t> </w:t>
      </w:r>
      <w:r w:rsidRPr="00A64992">
        <w:rPr>
          <w:sz w:val="20"/>
          <w:szCs w:val="20"/>
        </w:rPr>
        <w:t>laboratoří Národní veterinární služby.</w:t>
      </w:r>
    </w:p>
    <w:p w14:paraId="7825E024" w14:textId="77777777" w:rsidR="00F25648" w:rsidRPr="00A64992" w:rsidRDefault="00F25648" w:rsidP="00A64992">
      <w:pPr>
        <w:pStyle w:val="Bezmezer"/>
        <w:ind w:left="426" w:firstLine="425"/>
        <w:jc w:val="both"/>
        <w:rPr>
          <w:sz w:val="20"/>
          <w:szCs w:val="20"/>
        </w:rPr>
      </w:pPr>
      <w:bookmarkStart w:id="12" w:name="bookmark13"/>
    </w:p>
    <w:p w14:paraId="53604531" w14:textId="1EA341F4" w:rsidR="00F25648" w:rsidRPr="00A64992" w:rsidRDefault="00F25648" w:rsidP="00A64992">
      <w:pPr>
        <w:pStyle w:val="Bezmezer"/>
        <w:ind w:left="426"/>
        <w:jc w:val="both"/>
        <w:rPr>
          <w:b/>
          <w:bCs/>
        </w:rPr>
      </w:pPr>
      <w:r w:rsidRPr="00A64992">
        <w:rPr>
          <w:b/>
          <w:bCs/>
        </w:rPr>
        <w:t>Bezpečnostní opatření</w:t>
      </w:r>
      <w:bookmarkEnd w:id="12"/>
    </w:p>
    <w:p w14:paraId="2F4B5453" w14:textId="7553DCEE" w:rsidR="00F25648" w:rsidRPr="00A64992" w:rsidRDefault="00F25648" w:rsidP="00A64992">
      <w:pPr>
        <w:pStyle w:val="Bezmezer"/>
        <w:ind w:left="426" w:firstLine="425"/>
        <w:jc w:val="both"/>
        <w:rPr>
          <w:sz w:val="20"/>
          <w:szCs w:val="20"/>
        </w:rPr>
      </w:pPr>
      <w:r w:rsidRPr="00A64992">
        <w:rPr>
          <w:sz w:val="20"/>
          <w:szCs w:val="20"/>
        </w:rPr>
        <w:t xml:space="preserve">Se </w:t>
      </w:r>
      <w:r w:rsidR="00FE1C3A" w:rsidRPr="00A64992">
        <w:rPr>
          <w:sz w:val="20"/>
          <w:szCs w:val="20"/>
        </w:rPr>
        <w:t>složkami</w:t>
      </w:r>
      <w:r w:rsidRPr="00A64992">
        <w:rPr>
          <w:sz w:val="20"/>
          <w:szCs w:val="20"/>
        </w:rPr>
        <w:t xml:space="preserve"> soupravy je třeba zacházet jako s potenciálně nebezpečnými a také je tak likvidovat. Nejezte, nepijte a nekuřte v místech, kde se manipuluje se vzorky séra a reakčními činidly soupravy. Nepipetujte ústy.</w:t>
      </w:r>
      <w:r w:rsidR="00FE1C3A" w:rsidRPr="00A64992">
        <w:rPr>
          <w:sz w:val="20"/>
          <w:szCs w:val="20"/>
        </w:rPr>
        <w:t xml:space="preserve"> </w:t>
      </w:r>
      <w:r w:rsidRPr="00A64992">
        <w:rPr>
          <w:sz w:val="20"/>
          <w:szCs w:val="20"/>
        </w:rPr>
        <w:t>Po</w:t>
      </w:r>
      <w:r w:rsidR="009A2114">
        <w:rPr>
          <w:sz w:val="20"/>
          <w:szCs w:val="20"/>
        </w:rPr>
        <w:t> </w:t>
      </w:r>
      <w:r w:rsidRPr="00A64992">
        <w:rPr>
          <w:sz w:val="20"/>
          <w:szCs w:val="20"/>
        </w:rPr>
        <w:t>polknutí vyhledejte lékaře. Nepoužívejte prošlá nebo kontaminovaná činidla ani činidla z jiných souprav nebo</w:t>
      </w:r>
      <w:r w:rsidR="009A2114">
        <w:rPr>
          <w:sz w:val="20"/>
          <w:szCs w:val="20"/>
        </w:rPr>
        <w:t> </w:t>
      </w:r>
      <w:bookmarkStart w:id="13" w:name="_GoBack"/>
      <w:bookmarkEnd w:id="13"/>
      <w:r w:rsidRPr="00A64992">
        <w:rPr>
          <w:sz w:val="20"/>
          <w:szCs w:val="20"/>
        </w:rPr>
        <w:t xml:space="preserve">sérií. </w:t>
      </w:r>
      <w:r w:rsidR="00FE1C3A" w:rsidRPr="00A64992">
        <w:rPr>
          <w:sz w:val="20"/>
          <w:szCs w:val="20"/>
        </w:rPr>
        <w:t>Nekombinujte</w:t>
      </w:r>
      <w:r w:rsidRPr="00A64992">
        <w:rPr>
          <w:sz w:val="20"/>
          <w:szCs w:val="20"/>
        </w:rPr>
        <w:t xml:space="preserve"> činidla z různých </w:t>
      </w:r>
      <w:r w:rsidR="00FE1C3A" w:rsidRPr="00A64992">
        <w:rPr>
          <w:sz w:val="20"/>
          <w:szCs w:val="20"/>
        </w:rPr>
        <w:t>šarží</w:t>
      </w:r>
      <w:r w:rsidRPr="00A64992">
        <w:rPr>
          <w:sz w:val="20"/>
          <w:szCs w:val="20"/>
        </w:rPr>
        <w:t xml:space="preserve"> téhož přípravku.</w:t>
      </w:r>
      <w:r w:rsidR="00880FBF">
        <w:rPr>
          <w:sz w:val="20"/>
          <w:szCs w:val="20"/>
        </w:rPr>
        <w:t xml:space="preserve"> Odpad likvidujte podle místních právních předpisů.</w:t>
      </w:r>
    </w:p>
    <w:p w14:paraId="769324C8" w14:textId="77777777" w:rsidR="00F25648" w:rsidRPr="00A64992" w:rsidRDefault="00F25648" w:rsidP="00A64992">
      <w:pPr>
        <w:pStyle w:val="Bezmezer"/>
        <w:ind w:left="426" w:firstLine="425"/>
        <w:jc w:val="both"/>
        <w:rPr>
          <w:sz w:val="20"/>
          <w:szCs w:val="20"/>
        </w:rPr>
      </w:pPr>
    </w:p>
    <w:p w14:paraId="77EEC0BA" w14:textId="148F2BFC" w:rsidR="00F25648" w:rsidRPr="00A64992" w:rsidRDefault="00F25648" w:rsidP="00FF7C42">
      <w:pPr>
        <w:pStyle w:val="Bezmezer"/>
        <w:ind w:left="426"/>
        <w:jc w:val="both"/>
        <w:rPr>
          <w:sz w:val="20"/>
          <w:szCs w:val="20"/>
        </w:rPr>
      </w:pPr>
      <w:r w:rsidRPr="00A64992">
        <w:rPr>
          <w:sz w:val="20"/>
          <w:szCs w:val="20"/>
        </w:rPr>
        <w:t>Složka A</w:t>
      </w:r>
      <w:r w:rsidR="00A64992">
        <w:rPr>
          <w:sz w:val="20"/>
          <w:szCs w:val="20"/>
        </w:rPr>
        <w:t xml:space="preserve"> – </w:t>
      </w:r>
      <w:r w:rsidRPr="00A64992">
        <w:rPr>
          <w:sz w:val="20"/>
          <w:szCs w:val="20"/>
        </w:rPr>
        <w:t>antigen EIAV p26</w:t>
      </w:r>
      <w:r w:rsidR="00A64992">
        <w:rPr>
          <w:sz w:val="20"/>
          <w:szCs w:val="20"/>
        </w:rPr>
        <w:t xml:space="preserve"> – </w:t>
      </w:r>
      <w:r w:rsidRPr="00A64992">
        <w:rPr>
          <w:sz w:val="20"/>
          <w:szCs w:val="20"/>
        </w:rPr>
        <w:t>obsahuje jako konzervační látku azid sodný.</w:t>
      </w:r>
    </w:p>
    <w:p w14:paraId="704DD5E8" w14:textId="5657C01F" w:rsidR="00F25648" w:rsidRDefault="00F25648" w:rsidP="00FF7C42">
      <w:pPr>
        <w:pStyle w:val="Bezmezer"/>
        <w:ind w:left="426"/>
        <w:jc w:val="both"/>
        <w:rPr>
          <w:sz w:val="20"/>
          <w:szCs w:val="20"/>
        </w:rPr>
      </w:pPr>
      <w:r w:rsidRPr="00A64992">
        <w:rPr>
          <w:sz w:val="20"/>
          <w:szCs w:val="20"/>
        </w:rPr>
        <w:t>Složka R</w:t>
      </w:r>
      <w:r w:rsidR="00A64992">
        <w:rPr>
          <w:sz w:val="20"/>
          <w:szCs w:val="20"/>
        </w:rPr>
        <w:t xml:space="preserve"> – </w:t>
      </w:r>
      <w:r w:rsidRPr="00A64992">
        <w:rPr>
          <w:sz w:val="20"/>
          <w:szCs w:val="20"/>
        </w:rPr>
        <w:t>referenční pozitivní kontrolní sérum</w:t>
      </w:r>
      <w:r w:rsidR="00A64992">
        <w:rPr>
          <w:sz w:val="20"/>
          <w:szCs w:val="20"/>
        </w:rPr>
        <w:t xml:space="preserve"> – </w:t>
      </w:r>
      <w:r w:rsidRPr="00A64992">
        <w:rPr>
          <w:sz w:val="20"/>
          <w:szCs w:val="20"/>
        </w:rPr>
        <w:t>obsahuje jako konzervační látku azid sodný.</w:t>
      </w:r>
    </w:p>
    <w:p w14:paraId="60C2ADE3" w14:textId="77777777" w:rsidR="00FF7C42" w:rsidRPr="00A64992" w:rsidRDefault="00FF7C42" w:rsidP="00FF7C42">
      <w:pPr>
        <w:pStyle w:val="Bezmezer"/>
        <w:ind w:left="426"/>
        <w:jc w:val="both"/>
        <w:rPr>
          <w:sz w:val="20"/>
          <w:szCs w:val="20"/>
        </w:rPr>
      </w:pPr>
    </w:p>
    <w:p w14:paraId="1FF5FF09" w14:textId="73C6CA0D" w:rsidR="00693AD2" w:rsidRPr="005E00ED" w:rsidRDefault="00693AD2" w:rsidP="00F25648">
      <w:pPr>
        <w:pStyle w:val="Bezmezer"/>
        <w:jc w:val="right"/>
        <w:rPr>
          <w:sz w:val="20"/>
          <w:szCs w:val="20"/>
        </w:rPr>
      </w:pPr>
    </w:p>
    <w:sectPr w:rsidR="00693AD2" w:rsidRPr="005E00ED" w:rsidSect="008A1FD5">
      <w:type w:val="continuous"/>
      <w:pgSz w:w="12240" w:h="15840"/>
      <w:pgMar w:top="993" w:right="1183" w:bottom="360" w:left="709" w:header="0" w:footer="110" w:gutter="0"/>
      <w:cols w:space="34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5AA3A" w14:textId="77777777" w:rsidR="006A5B07" w:rsidRDefault="006A5B07">
      <w:r>
        <w:separator/>
      </w:r>
    </w:p>
  </w:endnote>
  <w:endnote w:type="continuationSeparator" w:id="0">
    <w:p w14:paraId="057CEC71" w14:textId="77777777" w:rsidR="006A5B07" w:rsidRDefault="006A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38D1E" w14:textId="77777777" w:rsidR="00F25648" w:rsidRPr="00F25648" w:rsidRDefault="00F25648" w:rsidP="00F25648">
    <w:pPr>
      <w:pStyle w:val="Zkladntext30"/>
      <w:framePr w:w="1755" w:wrap="none" w:vAnchor="page" w:hAnchor="page" w:x="10159" w:y="15091"/>
      <w:shd w:val="clear" w:color="auto" w:fill="auto"/>
      <w:spacing w:line="240" w:lineRule="auto"/>
      <w:rPr>
        <w:color w:val="00B050"/>
      </w:rPr>
    </w:pPr>
    <w:proofErr w:type="spellStart"/>
    <w:r>
      <w:rPr>
        <w:rStyle w:val="Zkladntext31"/>
        <w:b/>
        <w:color w:val="00B050"/>
      </w:rPr>
      <w:t>Veterinary</w:t>
    </w:r>
    <w:proofErr w:type="spellEnd"/>
    <w:r>
      <w:rPr>
        <w:rStyle w:val="Zkladntext31"/>
        <w:b/>
        <w:color w:val="00B050"/>
      </w:rPr>
      <w:t xml:space="preserve"> </w:t>
    </w:r>
    <w:proofErr w:type="spellStart"/>
    <w:r>
      <w:rPr>
        <w:rStyle w:val="Zkladntext31"/>
        <w:b/>
        <w:color w:val="00B050"/>
      </w:rPr>
      <w:t>Medical</w:t>
    </w:r>
    <w:proofErr w:type="spellEnd"/>
    <w:r>
      <w:rPr>
        <w:rStyle w:val="Zkladntext31"/>
        <w:b/>
        <w:color w:val="00B050"/>
      </w:rPr>
      <w:t xml:space="preserve"> </w:t>
    </w:r>
    <w:proofErr w:type="spellStart"/>
    <w:r>
      <w:rPr>
        <w:rStyle w:val="Zkladntext31"/>
        <w:b/>
        <w:color w:val="00B050"/>
      </w:rPr>
      <w:t>Research</w:t>
    </w:r>
    <w:proofErr w:type="spellEnd"/>
    <w:r>
      <w:rPr>
        <w:rStyle w:val="Zkladntext31"/>
        <w:b/>
        <w:color w:val="00B050"/>
      </w:rPr>
      <w:t xml:space="preserve"> &amp; </w:t>
    </w:r>
    <w:proofErr w:type="spellStart"/>
    <w:r>
      <w:rPr>
        <w:rStyle w:val="Zkladntext31"/>
        <w:b/>
        <w:color w:val="00B050"/>
      </w:rPr>
      <w:t>Development</w:t>
    </w:r>
    <w:proofErr w:type="spellEnd"/>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916"/>
      <w:gridCol w:w="1997"/>
      <w:gridCol w:w="1454"/>
    </w:tblGrid>
    <w:tr w:rsidR="00F25648" w:rsidRPr="00F25648" w14:paraId="47A18B2D" w14:textId="77777777" w:rsidTr="00A76B40">
      <w:trPr>
        <w:trHeight w:hRule="exact" w:val="233"/>
      </w:trPr>
      <w:tc>
        <w:tcPr>
          <w:tcW w:w="2916" w:type="dxa"/>
          <w:shd w:val="clear" w:color="auto" w:fill="FFFFFF"/>
          <w:vAlign w:val="bottom"/>
        </w:tcPr>
        <w:p w14:paraId="3BBE22ED" w14:textId="77777777" w:rsidR="00F25648" w:rsidRPr="00F25648" w:rsidRDefault="00F25648" w:rsidP="00F25648">
          <w:pPr>
            <w:pStyle w:val="Bezmezer"/>
            <w:spacing w:before="20" w:after="20"/>
            <w:rPr>
              <w:sz w:val="13"/>
              <w:szCs w:val="13"/>
            </w:rPr>
          </w:pPr>
          <w:r>
            <w:rPr>
              <w:sz w:val="13"/>
            </w:rPr>
            <w:t>P.O. Box 502</w:t>
          </w:r>
        </w:p>
      </w:tc>
      <w:tc>
        <w:tcPr>
          <w:tcW w:w="1997" w:type="dxa"/>
          <w:shd w:val="clear" w:color="auto" w:fill="FFFFFF"/>
          <w:vAlign w:val="bottom"/>
        </w:tcPr>
        <w:p w14:paraId="084EC50E" w14:textId="77777777" w:rsidR="00F25648" w:rsidRPr="00F25648" w:rsidRDefault="00F25648" w:rsidP="00F25648">
          <w:pPr>
            <w:pStyle w:val="Bezmezer"/>
            <w:spacing w:before="20" w:after="20"/>
            <w:rPr>
              <w:sz w:val="13"/>
              <w:szCs w:val="13"/>
            </w:rPr>
          </w:pPr>
          <w:r>
            <w:rPr>
              <w:sz w:val="13"/>
            </w:rPr>
            <w:t>T: 509.334.5815</w:t>
          </w:r>
        </w:p>
      </w:tc>
      <w:tc>
        <w:tcPr>
          <w:tcW w:w="1454" w:type="dxa"/>
          <w:shd w:val="clear" w:color="auto" w:fill="FFFFFF"/>
          <w:vAlign w:val="bottom"/>
        </w:tcPr>
        <w:p w14:paraId="50EA4D3A" w14:textId="48556C0F" w:rsidR="00F25648" w:rsidRPr="00F25648" w:rsidRDefault="00F25648" w:rsidP="00F25648">
          <w:pPr>
            <w:pStyle w:val="Bezmezer"/>
            <w:spacing w:before="20" w:after="20"/>
            <w:rPr>
              <w:sz w:val="13"/>
              <w:szCs w:val="13"/>
            </w:rPr>
          </w:pPr>
          <w:r>
            <w:rPr>
              <w:sz w:val="13"/>
            </w:rPr>
            <w:t>support@vmrd.com</w:t>
          </w:r>
        </w:p>
      </w:tc>
    </w:tr>
    <w:tr w:rsidR="00F25648" w:rsidRPr="00F25648" w14:paraId="63D559B6" w14:textId="77777777" w:rsidTr="00A76B40">
      <w:trPr>
        <w:trHeight w:hRule="exact" w:val="197"/>
      </w:trPr>
      <w:tc>
        <w:tcPr>
          <w:tcW w:w="2916" w:type="dxa"/>
          <w:shd w:val="clear" w:color="auto" w:fill="FFFFFF"/>
        </w:tcPr>
        <w:p w14:paraId="1B6526C6" w14:textId="77777777" w:rsidR="00F25648" w:rsidRPr="00F25648" w:rsidRDefault="00F25648" w:rsidP="00F25648">
          <w:pPr>
            <w:pStyle w:val="Bezmezer"/>
            <w:spacing w:before="20" w:after="20"/>
            <w:rPr>
              <w:sz w:val="13"/>
              <w:szCs w:val="13"/>
            </w:rPr>
          </w:pPr>
          <w:proofErr w:type="spellStart"/>
          <w:r>
            <w:rPr>
              <w:sz w:val="13"/>
            </w:rPr>
            <w:t>Pullman</w:t>
          </w:r>
          <w:proofErr w:type="spellEnd"/>
          <w:r>
            <w:rPr>
              <w:sz w:val="13"/>
            </w:rPr>
            <w:t>, WA 99163 USA</w:t>
          </w:r>
        </w:p>
      </w:tc>
      <w:tc>
        <w:tcPr>
          <w:tcW w:w="1997" w:type="dxa"/>
          <w:shd w:val="clear" w:color="auto" w:fill="FFFFFF"/>
        </w:tcPr>
        <w:p w14:paraId="128D4336" w14:textId="77777777" w:rsidR="00F25648" w:rsidRPr="00F25648" w:rsidRDefault="00F25648" w:rsidP="00F25648">
          <w:pPr>
            <w:pStyle w:val="Bezmezer"/>
            <w:spacing w:before="20" w:after="20"/>
            <w:rPr>
              <w:sz w:val="13"/>
              <w:szCs w:val="13"/>
            </w:rPr>
          </w:pPr>
          <w:r>
            <w:rPr>
              <w:sz w:val="13"/>
            </w:rPr>
            <w:t>F: 509.332.5356</w:t>
          </w:r>
        </w:p>
      </w:tc>
      <w:tc>
        <w:tcPr>
          <w:tcW w:w="1454" w:type="dxa"/>
          <w:shd w:val="clear" w:color="auto" w:fill="FFFFFF"/>
        </w:tcPr>
        <w:p w14:paraId="50583AD2" w14:textId="1F598F90" w:rsidR="00F25648" w:rsidRPr="00F25648" w:rsidRDefault="00F25648" w:rsidP="00F25648">
          <w:pPr>
            <w:pStyle w:val="Bezmezer"/>
            <w:spacing w:before="20" w:after="20"/>
            <w:rPr>
              <w:sz w:val="13"/>
              <w:szCs w:val="13"/>
            </w:rPr>
          </w:pPr>
          <w:r>
            <w:rPr>
              <w:sz w:val="13"/>
            </w:rPr>
            <w:t>www.vmrd.com</w:t>
          </w:r>
        </w:p>
      </w:tc>
    </w:tr>
  </w:tbl>
  <w:p w14:paraId="316F5030" w14:textId="56658E40" w:rsidR="00F25648" w:rsidRDefault="00F25648">
    <w:pPr>
      <w:pStyle w:val="Zpat"/>
    </w:pPr>
    <w:r>
      <w:rPr>
        <w:noProof/>
      </w:rPr>
      <w:drawing>
        <wp:anchor distT="0" distB="0" distL="63500" distR="63500" simplePos="0" relativeHeight="251659264" behindDoc="1" locked="0" layoutInCell="1" allowOverlap="1" wp14:anchorId="110F11CF" wp14:editId="604782D9">
          <wp:simplePos x="0" y="0"/>
          <wp:positionH relativeFrom="page">
            <wp:posOffset>-4157</wp:posOffset>
          </wp:positionH>
          <wp:positionV relativeFrom="page">
            <wp:posOffset>9376929</wp:posOffset>
          </wp:positionV>
          <wp:extent cx="7772400" cy="681355"/>
          <wp:effectExtent l="0" t="0" r="0" b="0"/>
          <wp:wrapNone/>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0" cy="6813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AF066" w14:textId="77777777" w:rsidR="006A5B07" w:rsidRDefault="006A5B07"/>
  </w:footnote>
  <w:footnote w:type="continuationSeparator" w:id="0">
    <w:p w14:paraId="5088CCFF" w14:textId="77777777" w:rsidR="006A5B07" w:rsidRDefault="006A5B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2FA37" w14:textId="77777777" w:rsidR="006E7614" w:rsidRDefault="006E7614" w:rsidP="00B92A04">
    <w:pPr>
      <w:widowControl/>
      <w:spacing w:after="160" w:line="259" w:lineRule="auto"/>
      <w:jc w:val="both"/>
      <w:rPr>
        <w:rFonts w:ascii="Calibri" w:eastAsia="Calibri" w:hAnsi="Calibri" w:cs="Times New Roman"/>
        <w:bCs/>
        <w:color w:val="auto"/>
        <w:szCs w:val="22"/>
        <w:lang w:bidi="ar-SA"/>
      </w:rPr>
    </w:pPr>
  </w:p>
  <w:p w14:paraId="788251BE" w14:textId="165F4514" w:rsidR="00B92A04" w:rsidRPr="006E7614" w:rsidRDefault="00B92A04" w:rsidP="00B92A04">
    <w:pPr>
      <w:widowControl/>
      <w:spacing w:after="160" w:line="259" w:lineRule="auto"/>
      <w:jc w:val="both"/>
      <w:rPr>
        <w:rFonts w:ascii="Calibri" w:eastAsia="Calibri" w:hAnsi="Calibri" w:cs="Times New Roman"/>
        <w:b/>
        <w:bCs/>
        <w:color w:val="auto"/>
        <w:sz w:val="22"/>
        <w:szCs w:val="22"/>
        <w:lang w:bidi="ar-SA"/>
      </w:rPr>
    </w:pPr>
    <w:r w:rsidRPr="006E7614">
      <w:rPr>
        <w:rFonts w:ascii="Calibri" w:eastAsia="Calibri" w:hAnsi="Calibri" w:cs="Times New Roman"/>
        <w:bCs/>
        <w:color w:val="auto"/>
        <w:sz w:val="22"/>
        <w:szCs w:val="22"/>
        <w:lang w:bidi="ar-SA"/>
      </w:rPr>
      <w:t>Text návodu k použití součást dokumentace schválené rozhodnutím sp.</w:t>
    </w:r>
    <w:r w:rsidR="009A2114">
      <w:rPr>
        <w:rFonts w:ascii="Calibri" w:eastAsia="Calibri" w:hAnsi="Calibri" w:cs="Times New Roman"/>
        <w:bCs/>
        <w:color w:val="auto"/>
        <w:sz w:val="22"/>
        <w:szCs w:val="22"/>
        <w:lang w:bidi="ar-SA"/>
      </w:rPr>
      <w:t> </w:t>
    </w:r>
    <w:r w:rsidRPr="006E7614">
      <w:rPr>
        <w:rFonts w:ascii="Calibri" w:eastAsia="Calibri" w:hAnsi="Calibri" w:cs="Times New Roman"/>
        <w:bCs/>
        <w:color w:val="auto"/>
        <w:sz w:val="22"/>
        <w:szCs w:val="22"/>
        <w:lang w:bidi="ar-SA"/>
      </w:rPr>
      <w:t xml:space="preserve">zn. </w:t>
    </w:r>
    <w:sdt>
      <w:sdtPr>
        <w:rPr>
          <w:rFonts w:ascii="Calibri" w:eastAsia="Calibri" w:hAnsi="Calibri" w:cs="Times New Roman"/>
          <w:bCs/>
          <w:color w:val="auto"/>
          <w:sz w:val="22"/>
          <w:szCs w:val="22"/>
          <w:lang w:bidi="ar-SA"/>
        </w:rPr>
        <w:id w:val="2058362447"/>
        <w:placeholder>
          <w:docPart w:val="C492EB72080C4D73811F696AF5889FE6"/>
        </w:placeholder>
        <w:text/>
      </w:sdtPr>
      <w:sdtEndPr/>
      <w:sdtContent>
        <w:r w:rsidRPr="006E7614">
          <w:rPr>
            <w:rFonts w:ascii="Calibri" w:eastAsia="Calibri" w:hAnsi="Calibri" w:cs="Times New Roman"/>
            <w:bCs/>
            <w:color w:val="auto"/>
            <w:sz w:val="22"/>
            <w:szCs w:val="22"/>
            <w:lang w:bidi="ar-SA"/>
          </w:rPr>
          <w:t>USKVBL/6842/2024/POD</w:t>
        </w:r>
      </w:sdtContent>
    </w:sdt>
    <w:r w:rsidRPr="006E7614">
      <w:rPr>
        <w:rFonts w:ascii="Calibri" w:eastAsia="Calibri" w:hAnsi="Calibri" w:cs="Times New Roman"/>
        <w:bCs/>
        <w:color w:val="auto"/>
        <w:sz w:val="22"/>
        <w:szCs w:val="22"/>
        <w:lang w:bidi="ar-SA"/>
      </w:rPr>
      <w:t>, č.j.</w:t>
    </w:r>
    <w:r w:rsidR="009A2114">
      <w:rPr>
        <w:rFonts w:ascii="Calibri" w:eastAsia="Calibri" w:hAnsi="Calibri" w:cs="Times New Roman"/>
        <w:bCs/>
        <w:color w:val="auto"/>
        <w:sz w:val="22"/>
        <w:szCs w:val="22"/>
        <w:lang w:bidi="ar-SA"/>
      </w:rPr>
      <w:t> </w:t>
    </w:r>
    <w:sdt>
      <w:sdtPr>
        <w:rPr>
          <w:rFonts w:ascii="Calibri" w:eastAsia="Calibri" w:hAnsi="Calibri" w:cs="Times New Roman"/>
          <w:bCs/>
          <w:color w:val="auto"/>
          <w:sz w:val="22"/>
          <w:szCs w:val="22"/>
          <w:lang w:bidi="ar-SA"/>
        </w:rPr>
        <w:id w:val="256413127"/>
        <w:placeholder>
          <w:docPart w:val="C492EB72080C4D73811F696AF5889FE6"/>
        </w:placeholder>
        <w:text/>
      </w:sdtPr>
      <w:sdtEndPr/>
      <w:sdtContent>
        <w:r w:rsidR="00391CE7" w:rsidRPr="00391CE7">
          <w:rPr>
            <w:rFonts w:ascii="Calibri" w:eastAsia="Calibri" w:hAnsi="Calibri" w:cs="Times New Roman"/>
            <w:bCs/>
            <w:color w:val="auto"/>
            <w:sz w:val="22"/>
            <w:szCs w:val="22"/>
            <w:lang w:bidi="ar-SA"/>
          </w:rPr>
          <w:t>USKVBL/9572/2024/REG-Gro</w:t>
        </w:r>
      </w:sdtContent>
    </w:sdt>
    <w:r w:rsidRPr="006E7614">
      <w:rPr>
        <w:rFonts w:ascii="Calibri" w:eastAsia="Calibri" w:hAnsi="Calibri" w:cs="Times New Roman"/>
        <w:bCs/>
        <w:color w:val="auto"/>
        <w:sz w:val="22"/>
        <w:szCs w:val="22"/>
        <w:lang w:bidi="ar-SA"/>
      </w:rPr>
      <w:t xml:space="preserve"> ze dne </w:t>
    </w:r>
    <w:sdt>
      <w:sdtPr>
        <w:rPr>
          <w:rFonts w:ascii="Calibri" w:eastAsia="Calibri" w:hAnsi="Calibri" w:cs="Times New Roman"/>
          <w:bCs/>
          <w:color w:val="auto"/>
          <w:sz w:val="22"/>
          <w:szCs w:val="22"/>
          <w:lang w:bidi="ar-SA"/>
        </w:rPr>
        <w:id w:val="1773286175"/>
        <w:placeholder>
          <w:docPart w:val="0A6A9880B028453FB942F35725A09FCF"/>
        </w:placeholder>
        <w:date w:fullDate="2024-07-29T00:00:00Z">
          <w:dateFormat w:val="d.M.yyyy"/>
          <w:lid w:val="cs-CZ"/>
          <w:storeMappedDataAs w:val="dateTime"/>
          <w:calendar w:val="gregorian"/>
        </w:date>
      </w:sdtPr>
      <w:sdtEndPr/>
      <w:sdtContent>
        <w:r w:rsidR="00F5607F">
          <w:rPr>
            <w:rFonts w:ascii="Calibri" w:eastAsia="Calibri" w:hAnsi="Calibri" w:cs="Times New Roman"/>
            <w:bCs/>
            <w:color w:val="auto"/>
            <w:sz w:val="22"/>
            <w:szCs w:val="22"/>
            <w:lang w:bidi="ar-SA"/>
          </w:rPr>
          <w:t>29.7.2024</w:t>
        </w:r>
      </w:sdtContent>
    </w:sdt>
    <w:r w:rsidRPr="006E7614">
      <w:rPr>
        <w:rFonts w:ascii="Calibri" w:eastAsia="Calibri" w:hAnsi="Calibri" w:cs="Times New Roman"/>
        <w:bCs/>
        <w:color w:val="auto"/>
        <w:sz w:val="22"/>
        <w:szCs w:val="22"/>
        <w:lang w:bidi="ar-SA"/>
      </w:rPr>
      <w:t xml:space="preserve"> o </w:t>
    </w:r>
    <w:sdt>
      <w:sdtPr>
        <w:rPr>
          <w:rFonts w:ascii="Calibri" w:eastAsia="Times New Roman" w:hAnsi="Calibri" w:cs="Calibri"/>
          <w:color w:val="auto"/>
          <w:sz w:val="22"/>
          <w:szCs w:val="22"/>
          <w:lang w:bidi="ar-SA"/>
        </w:rPr>
        <w:id w:val="-2045283072"/>
        <w:placeholder>
          <w:docPart w:val="9066358A106C439F91168295ED10E170"/>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sdtContent>
        <w:r w:rsidRPr="006E7614">
          <w:rPr>
            <w:rFonts w:ascii="Calibri" w:eastAsia="Times New Roman" w:hAnsi="Calibri" w:cs="Calibri"/>
            <w:color w:val="auto"/>
            <w:sz w:val="22"/>
            <w:szCs w:val="22"/>
            <w:lang w:bidi="ar-SA"/>
          </w:rPr>
          <w:t>schválení veterinárního přípravku</w:t>
        </w:r>
      </w:sdtContent>
    </w:sdt>
    <w:r w:rsidRPr="006E7614">
      <w:rPr>
        <w:rFonts w:ascii="Calibri" w:eastAsia="Calibri" w:hAnsi="Calibri" w:cs="Times New Roman"/>
        <w:bCs/>
        <w:color w:val="auto"/>
        <w:sz w:val="22"/>
        <w:szCs w:val="22"/>
        <w:lang w:bidi="ar-SA"/>
      </w:rPr>
      <w:t xml:space="preserve"> </w:t>
    </w:r>
    <w:sdt>
      <w:sdtPr>
        <w:rPr>
          <w:rFonts w:ascii="Calibri" w:eastAsia="Calibri" w:hAnsi="Calibri" w:cs="Times New Roman"/>
          <w:color w:val="auto"/>
          <w:sz w:val="22"/>
          <w:szCs w:val="22"/>
          <w:lang w:bidi="ar-SA"/>
        </w:rPr>
        <w:id w:val="28773371"/>
        <w:placeholder>
          <w:docPart w:val="FAAA1117D07445BC8921E151B5B20674"/>
        </w:placeholder>
        <w:text/>
      </w:sdtPr>
      <w:sdtEndPr/>
      <w:sdtContent>
        <w:r w:rsidRPr="006E7614">
          <w:rPr>
            <w:rFonts w:ascii="Calibri" w:eastAsia="Calibri" w:hAnsi="Calibri" w:cs="Times New Roman"/>
            <w:color w:val="auto"/>
            <w:sz w:val="22"/>
            <w:szCs w:val="22"/>
            <w:lang w:bidi="ar-SA"/>
          </w:rPr>
          <w:t>EIAV AGID ANTIBODY TEST KIT</w:t>
        </w:r>
      </w:sdtContent>
    </w:sdt>
  </w:p>
  <w:p w14:paraId="3FDF1174" w14:textId="77777777" w:rsidR="00B92A04" w:rsidRDefault="00B92A0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B0B40"/>
    <w:multiLevelType w:val="multilevel"/>
    <w:tmpl w:val="8F46FDF2"/>
    <w:lvl w:ilvl="0">
      <w:start w:val="1"/>
      <w:numFmt w:val="decimal"/>
      <w:lvlText w:val="%1."/>
      <w:lvlJc w:val="left"/>
      <w:rPr>
        <w:rFonts w:ascii="Arial" w:eastAsia="Arial" w:hAnsi="Arial" w:cs="Arial"/>
        <w:b w:val="0"/>
        <w:bCs w:val="0"/>
        <w:i w:val="0"/>
        <w:iCs w:val="0"/>
        <w:smallCaps w:val="0"/>
        <w:strike w:val="0"/>
        <w:color w:val="000000"/>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AB1FC8"/>
    <w:multiLevelType w:val="multilevel"/>
    <w:tmpl w:val="067628B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666AE2"/>
    <w:multiLevelType w:val="multilevel"/>
    <w:tmpl w:val="601EE01A"/>
    <w:lvl w:ilvl="0">
      <w:start w:val="2"/>
      <w:numFmt w:val="decimal"/>
      <w:lvlText w:val="%1,"/>
      <w:lvlJc w:val="left"/>
      <w:rPr>
        <w:rFonts w:ascii="Arial" w:eastAsia="Arial" w:hAnsi="Arial" w:cs="Arial"/>
        <w:b w:val="0"/>
        <w:bCs w:val="0"/>
        <w:i w:val="0"/>
        <w:iCs w:val="0"/>
        <w:smallCaps w:val="0"/>
        <w:strike w:val="0"/>
        <w:color w:val="000000"/>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8E1DF7"/>
    <w:multiLevelType w:val="multilevel"/>
    <w:tmpl w:val="9078DBDA"/>
    <w:lvl w:ilvl="0">
      <w:start w:val="1"/>
      <w:numFmt w:val="decimal"/>
      <w:lvlText w:val="%1."/>
      <w:lvlJc w:val="left"/>
      <w:rPr>
        <w:rFonts w:ascii="Arial" w:eastAsia="Arial" w:hAnsi="Arial" w:cs="Arial"/>
        <w:b w:val="0"/>
        <w:bCs w:val="0"/>
        <w:i w:val="0"/>
        <w:iCs w:val="0"/>
        <w:smallCaps w:val="0"/>
        <w:strike w:val="0"/>
        <w:color w:val="000000"/>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452CE4"/>
    <w:multiLevelType w:val="hybridMultilevel"/>
    <w:tmpl w:val="A2064136"/>
    <w:lvl w:ilvl="0" w:tplc="0405000F">
      <w:start w:val="1"/>
      <w:numFmt w:val="decimal"/>
      <w:lvlText w:val="%1."/>
      <w:lvlJc w:val="left"/>
      <w:pPr>
        <w:ind w:left="-844" w:hanging="360"/>
      </w:pPr>
    </w:lvl>
    <w:lvl w:ilvl="1" w:tplc="04050019" w:tentative="1">
      <w:start w:val="1"/>
      <w:numFmt w:val="lowerLetter"/>
      <w:lvlText w:val="%2."/>
      <w:lvlJc w:val="left"/>
      <w:pPr>
        <w:ind w:left="-124" w:hanging="360"/>
      </w:pPr>
    </w:lvl>
    <w:lvl w:ilvl="2" w:tplc="0405001B" w:tentative="1">
      <w:start w:val="1"/>
      <w:numFmt w:val="lowerRoman"/>
      <w:lvlText w:val="%3."/>
      <w:lvlJc w:val="right"/>
      <w:pPr>
        <w:ind w:left="596" w:hanging="180"/>
      </w:pPr>
    </w:lvl>
    <w:lvl w:ilvl="3" w:tplc="0405000F" w:tentative="1">
      <w:start w:val="1"/>
      <w:numFmt w:val="decimal"/>
      <w:lvlText w:val="%4."/>
      <w:lvlJc w:val="left"/>
      <w:pPr>
        <w:ind w:left="1316" w:hanging="360"/>
      </w:pPr>
    </w:lvl>
    <w:lvl w:ilvl="4" w:tplc="04050019" w:tentative="1">
      <w:start w:val="1"/>
      <w:numFmt w:val="lowerLetter"/>
      <w:lvlText w:val="%5."/>
      <w:lvlJc w:val="left"/>
      <w:pPr>
        <w:ind w:left="2036" w:hanging="360"/>
      </w:pPr>
    </w:lvl>
    <w:lvl w:ilvl="5" w:tplc="0405001B" w:tentative="1">
      <w:start w:val="1"/>
      <w:numFmt w:val="lowerRoman"/>
      <w:lvlText w:val="%6."/>
      <w:lvlJc w:val="right"/>
      <w:pPr>
        <w:ind w:left="2756" w:hanging="180"/>
      </w:pPr>
    </w:lvl>
    <w:lvl w:ilvl="6" w:tplc="0405000F" w:tentative="1">
      <w:start w:val="1"/>
      <w:numFmt w:val="decimal"/>
      <w:lvlText w:val="%7."/>
      <w:lvlJc w:val="left"/>
      <w:pPr>
        <w:ind w:left="3476" w:hanging="360"/>
      </w:pPr>
    </w:lvl>
    <w:lvl w:ilvl="7" w:tplc="04050019" w:tentative="1">
      <w:start w:val="1"/>
      <w:numFmt w:val="lowerLetter"/>
      <w:lvlText w:val="%8."/>
      <w:lvlJc w:val="left"/>
      <w:pPr>
        <w:ind w:left="4196" w:hanging="360"/>
      </w:pPr>
    </w:lvl>
    <w:lvl w:ilvl="8" w:tplc="0405001B" w:tentative="1">
      <w:start w:val="1"/>
      <w:numFmt w:val="lowerRoman"/>
      <w:lvlText w:val="%9."/>
      <w:lvlJc w:val="right"/>
      <w:pPr>
        <w:ind w:left="4916" w:hanging="180"/>
      </w:pPr>
    </w:lvl>
  </w:abstractNum>
  <w:abstractNum w:abstractNumId="5" w15:restartNumberingAfterBreak="0">
    <w:nsid w:val="797D7549"/>
    <w:multiLevelType w:val="hybridMultilevel"/>
    <w:tmpl w:val="3FFC19E2"/>
    <w:lvl w:ilvl="0" w:tplc="0D80612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AD2"/>
    <w:rsid w:val="00056857"/>
    <w:rsid w:val="00076025"/>
    <w:rsid w:val="000C32BF"/>
    <w:rsid w:val="00171D94"/>
    <w:rsid w:val="001B4354"/>
    <w:rsid w:val="002062D2"/>
    <w:rsid w:val="00236204"/>
    <w:rsid w:val="00391CE7"/>
    <w:rsid w:val="00396098"/>
    <w:rsid w:val="004F4622"/>
    <w:rsid w:val="005B05F7"/>
    <w:rsid w:val="005C5D23"/>
    <w:rsid w:val="005E00ED"/>
    <w:rsid w:val="006939FA"/>
    <w:rsid w:val="00693AD2"/>
    <w:rsid w:val="006A5B07"/>
    <w:rsid w:val="006E7614"/>
    <w:rsid w:val="00712CD0"/>
    <w:rsid w:val="007745CE"/>
    <w:rsid w:val="007D55A0"/>
    <w:rsid w:val="00800C0C"/>
    <w:rsid w:val="00806DFB"/>
    <w:rsid w:val="00880FBF"/>
    <w:rsid w:val="00880FE2"/>
    <w:rsid w:val="008A1FD5"/>
    <w:rsid w:val="008D2033"/>
    <w:rsid w:val="009876E4"/>
    <w:rsid w:val="009A2114"/>
    <w:rsid w:val="009C1D46"/>
    <w:rsid w:val="009F0B1F"/>
    <w:rsid w:val="00A45326"/>
    <w:rsid w:val="00A64992"/>
    <w:rsid w:val="00B92A04"/>
    <w:rsid w:val="00CA1F31"/>
    <w:rsid w:val="00D428F3"/>
    <w:rsid w:val="00DB5F65"/>
    <w:rsid w:val="00DF48EE"/>
    <w:rsid w:val="00E04A59"/>
    <w:rsid w:val="00E81E6F"/>
    <w:rsid w:val="00EF34F2"/>
    <w:rsid w:val="00F25648"/>
    <w:rsid w:val="00F5607F"/>
    <w:rsid w:val="00F61105"/>
    <w:rsid w:val="00F934CF"/>
    <w:rsid w:val="00FC4B28"/>
    <w:rsid w:val="00FE1C3A"/>
    <w:rsid w:val="00FF7C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42777"/>
  <w15:docId w15:val="{E07C5A5C-5839-4C6B-8FF0-D991A21A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cs-CZ"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b/>
      <w:bCs/>
      <w:i w:val="0"/>
      <w:iCs w:val="0"/>
      <w:smallCaps w:val="0"/>
      <w:strike w:val="0"/>
      <w:sz w:val="14"/>
      <w:szCs w:val="14"/>
      <w:u w:val="none"/>
    </w:rPr>
  </w:style>
  <w:style w:type="character" w:customStyle="1" w:styleId="Zkladntext31">
    <w:name w:val="Základní text (3)"/>
    <w:basedOn w:val="Zkladntext3"/>
    <w:rPr>
      <w:rFonts w:ascii="Arial" w:eastAsia="Arial" w:hAnsi="Arial" w:cs="Arial"/>
      <w:b/>
      <w:bCs/>
      <w:i w:val="0"/>
      <w:iCs w:val="0"/>
      <w:smallCaps w:val="0"/>
      <w:strike w:val="0"/>
      <w:color w:val="000000"/>
      <w:spacing w:val="0"/>
      <w:w w:val="100"/>
      <w:position w:val="0"/>
      <w:sz w:val="14"/>
      <w:szCs w:val="14"/>
      <w:u w:val="none"/>
      <w:lang w:val="cs-CZ" w:eastAsia="en-US" w:bidi="en-US"/>
    </w:rPr>
  </w:style>
  <w:style w:type="character" w:customStyle="1" w:styleId="Nadpis1">
    <w:name w:val="Nadpis #1_"/>
    <w:basedOn w:val="Standardnpsmoodstavce"/>
    <w:link w:val="Nadpis10"/>
    <w:rPr>
      <w:b w:val="0"/>
      <w:bCs w:val="0"/>
      <w:i w:val="0"/>
      <w:iCs w:val="0"/>
      <w:smallCaps w:val="0"/>
      <w:strike w:val="0"/>
      <w:sz w:val="21"/>
      <w:szCs w:val="21"/>
      <w:u w:val="none"/>
    </w:rPr>
  </w:style>
  <w:style w:type="character" w:customStyle="1" w:styleId="Nadpis11">
    <w:name w:val="Nadpis #1"/>
    <w:basedOn w:val="Nadpis1"/>
    <w:rPr>
      <w:rFonts w:ascii="Arial" w:eastAsia="Arial" w:hAnsi="Arial" w:cs="Arial"/>
      <w:b w:val="0"/>
      <w:bCs w:val="0"/>
      <w:i w:val="0"/>
      <w:iCs w:val="0"/>
      <w:smallCaps w:val="0"/>
      <w:strike w:val="0"/>
      <w:color w:val="EBEBEB"/>
      <w:spacing w:val="0"/>
      <w:w w:val="100"/>
      <w:position w:val="0"/>
      <w:sz w:val="21"/>
      <w:szCs w:val="21"/>
      <w:u w:val="none"/>
      <w:lang w:val="cs-CZ" w:eastAsia="en-US" w:bidi="en-US"/>
    </w:rPr>
  </w:style>
  <w:style w:type="character" w:customStyle="1" w:styleId="Zkladntext4">
    <w:name w:val="Základní text (4)_"/>
    <w:basedOn w:val="Standardnpsmoodstavce"/>
    <w:link w:val="Zkladntext40"/>
    <w:rPr>
      <w:b w:val="0"/>
      <w:bCs w:val="0"/>
      <w:i w:val="0"/>
      <w:iCs w:val="0"/>
      <w:smallCaps w:val="0"/>
      <w:strike w:val="0"/>
      <w:sz w:val="14"/>
      <w:szCs w:val="14"/>
      <w:u w:val="none"/>
    </w:rPr>
  </w:style>
  <w:style w:type="character" w:customStyle="1" w:styleId="Zkladntext41">
    <w:name w:val="Základní text (4)"/>
    <w:basedOn w:val="Zkladntext4"/>
    <w:rPr>
      <w:rFonts w:ascii="Arial" w:eastAsia="Arial" w:hAnsi="Arial" w:cs="Arial"/>
      <w:b w:val="0"/>
      <w:bCs w:val="0"/>
      <w:i w:val="0"/>
      <w:iCs w:val="0"/>
      <w:smallCaps w:val="0"/>
      <w:strike w:val="0"/>
      <w:color w:val="000000"/>
      <w:spacing w:val="0"/>
      <w:w w:val="100"/>
      <w:position w:val="0"/>
      <w:sz w:val="14"/>
      <w:szCs w:val="14"/>
      <w:u w:val="none"/>
      <w:lang w:val="cs-CZ" w:eastAsia="en-US" w:bidi="en-US"/>
    </w:rPr>
  </w:style>
  <w:style w:type="character" w:customStyle="1" w:styleId="Nadpis2">
    <w:name w:val="Nadpis #2_"/>
    <w:basedOn w:val="Standardnpsmoodstavce"/>
    <w:link w:val="Nadpis20"/>
    <w:rPr>
      <w:b w:val="0"/>
      <w:bCs w:val="0"/>
      <w:i w:val="0"/>
      <w:iCs w:val="0"/>
      <w:smallCaps w:val="0"/>
      <w:strike w:val="0"/>
      <w:sz w:val="19"/>
      <w:szCs w:val="19"/>
      <w:u w:val="none"/>
    </w:rPr>
  </w:style>
  <w:style w:type="character" w:customStyle="1" w:styleId="Zkladntext2">
    <w:name w:val="Základní text (2)_"/>
    <w:basedOn w:val="Standardnpsmoodstavce"/>
    <w:link w:val="Zkladntext20"/>
    <w:rPr>
      <w:b w:val="0"/>
      <w:bCs w:val="0"/>
      <w:i w:val="0"/>
      <w:iCs w:val="0"/>
      <w:smallCaps w:val="0"/>
      <w:strike w:val="0"/>
      <w:sz w:val="12"/>
      <w:szCs w:val="12"/>
      <w:u w:val="none"/>
    </w:rPr>
  </w:style>
  <w:style w:type="character" w:customStyle="1" w:styleId="Zkladntext2Tun">
    <w:name w:val="Základní text (2) + Tučné"/>
    <w:basedOn w:val="Zkladntext2"/>
    <w:rPr>
      <w:rFonts w:ascii="Arial" w:eastAsia="Arial" w:hAnsi="Arial" w:cs="Arial"/>
      <w:b/>
      <w:bCs/>
      <w:i w:val="0"/>
      <w:iCs w:val="0"/>
      <w:smallCaps w:val="0"/>
      <w:strike w:val="0"/>
      <w:color w:val="000000"/>
      <w:spacing w:val="0"/>
      <w:w w:val="100"/>
      <w:position w:val="0"/>
      <w:sz w:val="12"/>
      <w:szCs w:val="12"/>
      <w:u w:val="none"/>
      <w:lang w:val="cs-CZ" w:eastAsia="en-US" w:bidi="en-US"/>
    </w:rPr>
  </w:style>
  <w:style w:type="character" w:customStyle="1" w:styleId="Zkladntext32">
    <w:name w:val="Základní text (3)"/>
    <w:basedOn w:val="Zkladntext3"/>
    <w:rPr>
      <w:rFonts w:ascii="Arial" w:eastAsia="Arial" w:hAnsi="Arial" w:cs="Arial"/>
      <w:b/>
      <w:bCs/>
      <w:i w:val="0"/>
      <w:iCs w:val="0"/>
      <w:smallCaps w:val="0"/>
      <w:strike w:val="0"/>
      <w:color w:val="EBEBEB"/>
      <w:spacing w:val="0"/>
      <w:w w:val="100"/>
      <w:position w:val="0"/>
      <w:sz w:val="14"/>
      <w:szCs w:val="14"/>
      <w:u w:val="none"/>
      <w:lang w:val="cs-CZ" w:eastAsia="en-US" w:bidi="en-US"/>
    </w:rPr>
  </w:style>
  <w:style w:type="character" w:customStyle="1" w:styleId="Zkladntext27pt">
    <w:name w:val="Základní text (2) + 7 pt"/>
    <w:basedOn w:val="Zkladntext2"/>
    <w:rPr>
      <w:rFonts w:ascii="Arial" w:eastAsia="Arial" w:hAnsi="Arial" w:cs="Arial"/>
      <w:b w:val="0"/>
      <w:bCs w:val="0"/>
      <w:i w:val="0"/>
      <w:iCs w:val="0"/>
      <w:smallCaps w:val="0"/>
      <w:strike w:val="0"/>
      <w:color w:val="000000"/>
      <w:spacing w:val="0"/>
      <w:w w:val="100"/>
      <w:position w:val="0"/>
      <w:sz w:val="14"/>
      <w:szCs w:val="14"/>
      <w:u w:val="none"/>
      <w:lang w:val="cs-CZ" w:eastAsia="en-US" w:bidi="en-US"/>
    </w:rPr>
  </w:style>
  <w:style w:type="paragraph" w:customStyle="1" w:styleId="Zkladntext30">
    <w:name w:val="Základní text (3)"/>
    <w:basedOn w:val="Normln"/>
    <w:link w:val="Zkladntext3"/>
    <w:pPr>
      <w:shd w:val="clear" w:color="auto" w:fill="FFFFFF"/>
      <w:spacing w:line="0" w:lineRule="atLeast"/>
    </w:pPr>
    <w:rPr>
      <w:b/>
      <w:bCs/>
      <w:sz w:val="14"/>
      <w:szCs w:val="14"/>
    </w:rPr>
  </w:style>
  <w:style w:type="paragraph" w:customStyle="1" w:styleId="Nadpis10">
    <w:name w:val="Nadpis #1"/>
    <w:basedOn w:val="Normln"/>
    <w:link w:val="Nadpis1"/>
    <w:pPr>
      <w:shd w:val="clear" w:color="auto" w:fill="FFFFFF"/>
      <w:spacing w:before="180" w:after="60" w:line="288" w:lineRule="exact"/>
      <w:outlineLvl w:val="0"/>
    </w:pPr>
    <w:rPr>
      <w:sz w:val="21"/>
      <w:szCs w:val="21"/>
    </w:rPr>
  </w:style>
  <w:style w:type="paragraph" w:customStyle="1" w:styleId="Zkladntext40">
    <w:name w:val="Základní text (4)"/>
    <w:basedOn w:val="Normln"/>
    <w:link w:val="Zkladntext4"/>
    <w:pPr>
      <w:shd w:val="clear" w:color="auto" w:fill="FFFFFF"/>
      <w:spacing w:before="60" w:after="60" w:line="0" w:lineRule="atLeast"/>
      <w:jc w:val="both"/>
    </w:pPr>
    <w:rPr>
      <w:sz w:val="14"/>
      <w:szCs w:val="14"/>
    </w:rPr>
  </w:style>
  <w:style w:type="paragraph" w:customStyle="1" w:styleId="Nadpis20">
    <w:name w:val="Nadpis #2"/>
    <w:basedOn w:val="Normln"/>
    <w:link w:val="Nadpis2"/>
    <w:pPr>
      <w:shd w:val="clear" w:color="auto" w:fill="FFFFFF"/>
      <w:spacing w:line="655" w:lineRule="exact"/>
      <w:jc w:val="both"/>
      <w:outlineLvl w:val="1"/>
    </w:pPr>
    <w:rPr>
      <w:sz w:val="19"/>
      <w:szCs w:val="19"/>
    </w:rPr>
  </w:style>
  <w:style w:type="paragraph" w:customStyle="1" w:styleId="Zkladntext20">
    <w:name w:val="Základní text (2)"/>
    <w:basedOn w:val="Normln"/>
    <w:link w:val="Zkladntext2"/>
    <w:pPr>
      <w:shd w:val="clear" w:color="auto" w:fill="FFFFFF"/>
      <w:spacing w:after="60" w:line="151" w:lineRule="exact"/>
      <w:ind w:hanging="320"/>
      <w:jc w:val="both"/>
    </w:pPr>
    <w:rPr>
      <w:sz w:val="12"/>
      <w:szCs w:val="12"/>
    </w:rPr>
  </w:style>
  <w:style w:type="paragraph" w:styleId="Bezmezer">
    <w:name w:val="No Spacing"/>
    <w:uiPriority w:val="1"/>
    <w:qFormat/>
    <w:rsid w:val="00712CD0"/>
    <w:rPr>
      <w:color w:val="000000"/>
    </w:rPr>
  </w:style>
  <w:style w:type="paragraph" w:styleId="Zhlav">
    <w:name w:val="header"/>
    <w:basedOn w:val="Normln"/>
    <w:link w:val="ZhlavChar"/>
    <w:uiPriority w:val="99"/>
    <w:unhideWhenUsed/>
    <w:rsid w:val="00F25648"/>
    <w:pPr>
      <w:tabs>
        <w:tab w:val="center" w:pos="4536"/>
        <w:tab w:val="right" w:pos="9072"/>
      </w:tabs>
    </w:pPr>
  </w:style>
  <w:style w:type="character" w:customStyle="1" w:styleId="ZhlavChar">
    <w:name w:val="Záhlaví Char"/>
    <w:basedOn w:val="Standardnpsmoodstavce"/>
    <w:link w:val="Zhlav"/>
    <w:uiPriority w:val="99"/>
    <w:rsid w:val="00F25648"/>
    <w:rPr>
      <w:color w:val="000000"/>
    </w:rPr>
  </w:style>
  <w:style w:type="paragraph" w:styleId="Zpat">
    <w:name w:val="footer"/>
    <w:basedOn w:val="Normln"/>
    <w:link w:val="ZpatChar"/>
    <w:uiPriority w:val="99"/>
    <w:unhideWhenUsed/>
    <w:rsid w:val="00F25648"/>
    <w:pPr>
      <w:tabs>
        <w:tab w:val="center" w:pos="4536"/>
        <w:tab w:val="right" w:pos="9072"/>
      </w:tabs>
    </w:pPr>
  </w:style>
  <w:style w:type="character" w:customStyle="1" w:styleId="ZpatChar">
    <w:name w:val="Zápatí Char"/>
    <w:basedOn w:val="Standardnpsmoodstavce"/>
    <w:link w:val="Zpat"/>
    <w:uiPriority w:val="99"/>
    <w:rsid w:val="00F25648"/>
    <w:rPr>
      <w:color w:val="000000"/>
    </w:rPr>
  </w:style>
  <w:style w:type="paragraph" w:styleId="Textbubliny">
    <w:name w:val="Balloon Text"/>
    <w:basedOn w:val="Normln"/>
    <w:link w:val="TextbublinyChar"/>
    <w:uiPriority w:val="99"/>
    <w:semiHidden/>
    <w:unhideWhenUsed/>
    <w:rsid w:val="00B92A0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92A0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92EB72080C4D73811F696AF5889FE6"/>
        <w:category>
          <w:name w:val="Obecné"/>
          <w:gallery w:val="placeholder"/>
        </w:category>
        <w:types>
          <w:type w:val="bbPlcHdr"/>
        </w:types>
        <w:behaviors>
          <w:behavior w:val="content"/>
        </w:behaviors>
        <w:guid w:val="{A1A817D3-9DDA-405E-9380-4380F897C16B}"/>
      </w:docPartPr>
      <w:docPartBody>
        <w:p w:rsidR="00C92788" w:rsidRDefault="00E85FA7" w:rsidP="00E85FA7">
          <w:pPr>
            <w:pStyle w:val="C492EB72080C4D73811F696AF5889FE6"/>
          </w:pPr>
          <w:r w:rsidRPr="00AD42B7">
            <w:rPr>
              <w:rStyle w:val="Zstupntext"/>
            </w:rPr>
            <w:t>Klikněte sem a zadejte text.</w:t>
          </w:r>
        </w:p>
      </w:docPartBody>
    </w:docPart>
    <w:docPart>
      <w:docPartPr>
        <w:name w:val="0A6A9880B028453FB942F35725A09FCF"/>
        <w:category>
          <w:name w:val="Obecné"/>
          <w:gallery w:val="placeholder"/>
        </w:category>
        <w:types>
          <w:type w:val="bbPlcHdr"/>
        </w:types>
        <w:behaviors>
          <w:behavior w:val="content"/>
        </w:behaviors>
        <w:guid w:val="{24E0DBA5-A726-44DD-AD28-6E8794B856AC}"/>
      </w:docPartPr>
      <w:docPartBody>
        <w:p w:rsidR="00C92788" w:rsidRDefault="00E85FA7" w:rsidP="00E85FA7">
          <w:pPr>
            <w:pStyle w:val="0A6A9880B028453FB942F35725A09FCF"/>
          </w:pPr>
          <w:r w:rsidRPr="00AD42B7">
            <w:rPr>
              <w:rStyle w:val="Zstupntext"/>
            </w:rPr>
            <w:t>Klikněte sem a zadejte datum.</w:t>
          </w:r>
        </w:p>
      </w:docPartBody>
    </w:docPart>
    <w:docPart>
      <w:docPartPr>
        <w:name w:val="9066358A106C439F91168295ED10E170"/>
        <w:category>
          <w:name w:val="Obecné"/>
          <w:gallery w:val="placeholder"/>
        </w:category>
        <w:types>
          <w:type w:val="bbPlcHdr"/>
        </w:types>
        <w:behaviors>
          <w:behavior w:val="content"/>
        </w:behaviors>
        <w:guid w:val="{75FEB820-E6D8-4D77-B37D-1AE176C58FA2}"/>
      </w:docPartPr>
      <w:docPartBody>
        <w:p w:rsidR="00C92788" w:rsidRDefault="00E85FA7" w:rsidP="00E85FA7">
          <w:pPr>
            <w:pStyle w:val="9066358A106C439F91168295ED10E170"/>
          </w:pPr>
          <w:r w:rsidRPr="00AD42B7">
            <w:rPr>
              <w:rStyle w:val="Zstupntext"/>
            </w:rPr>
            <w:t>Zvolte položku.</w:t>
          </w:r>
        </w:p>
      </w:docPartBody>
    </w:docPart>
    <w:docPart>
      <w:docPartPr>
        <w:name w:val="FAAA1117D07445BC8921E151B5B20674"/>
        <w:category>
          <w:name w:val="Obecné"/>
          <w:gallery w:val="placeholder"/>
        </w:category>
        <w:types>
          <w:type w:val="bbPlcHdr"/>
        </w:types>
        <w:behaviors>
          <w:behavior w:val="content"/>
        </w:behaviors>
        <w:guid w:val="{C7E3C090-4010-4AA2-A147-4EC3F817057B}"/>
      </w:docPartPr>
      <w:docPartBody>
        <w:p w:rsidR="00C92788" w:rsidRDefault="00E85FA7" w:rsidP="00E85FA7">
          <w:pPr>
            <w:pStyle w:val="FAAA1117D07445BC8921E151B5B20674"/>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A7"/>
    <w:rsid w:val="005F1F5E"/>
    <w:rsid w:val="007249C7"/>
    <w:rsid w:val="007C54EC"/>
    <w:rsid w:val="00877627"/>
    <w:rsid w:val="00991C36"/>
    <w:rsid w:val="00B07E86"/>
    <w:rsid w:val="00C92788"/>
    <w:rsid w:val="00E85F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E85FA7"/>
    <w:rPr>
      <w:color w:val="808080"/>
    </w:rPr>
  </w:style>
  <w:style w:type="paragraph" w:customStyle="1" w:styleId="C492EB72080C4D73811F696AF5889FE6">
    <w:name w:val="C492EB72080C4D73811F696AF5889FE6"/>
    <w:rsid w:val="00E85FA7"/>
  </w:style>
  <w:style w:type="paragraph" w:customStyle="1" w:styleId="0A6A9880B028453FB942F35725A09FCF">
    <w:name w:val="0A6A9880B028453FB942F35725A09FCF"/>
    <w:rsid w:val="00E85FA7"/>
  </w:style>
  <w:style w:type="paragraph" w:customStyle="1" w:styleId="9066358A106C439F91168295ED10E170">
    <w:name w:val="9066358A106C439F91168295ED10E170"/>
    <w:rsid w:val="00E85FA7"/>
  </w:style>
  <w:style w:type="paragraph" w:customStyle="1" w:styleId="FAAA1117D07445BC8921E151B5B20674">
    <w:name w:val="FAAA1117D07445BC8921E151B5B20674"/>
    <w:rsid w:val="00E85F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C3145-6ED8-4871-9EE0-D51BAEB9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1613</Words>
  <Characters>9517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radek</dc:creator>
  <cp:lastModifiedBy>Leona Nepejchalová</cp:lastModifiedBy>
  <cp:revision>26</cp:revision>
  <dcterms:created xsi:type="dcterms:W3CDTF">2024-04-22T17:47:00Z</dcterms:created>
  <dcterms:modified xsi:type="dcterms:W3CDTF">2024-07-29T16:02:00Z</dcterms:modified>
</cp:coreProperties>
</file>