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CCFD" w14:textId="77777777" w:rsidR="007F512D" w:rsidRPr="00B41D57" w:rsidRDefault="007F512D" w:rsidP="007F512D">
      <w:pPr>
        <w:tabs>
          <w:tab w:val="clear" w:pos="567"/>
        </w:tabs>
        <w:spacing w:line="240" w:lineRule="auto"/>
        <w:rPr>
          <w:szCs w:val="22"/>
        </w:rPr>
      </w:pPr>
    </w:p>
    <w:p w14:paraId="1A5FE7B2" w14:textId="77777777" w:rsidR="007F512D" w:rsidRPr="00B41D57" w:rsidRDefault="007F512D" w:rsidP="007F512D">
      <w:pPr>
        <w:tabs>
          <w:tab w:val="clear" w:pos="567"/>
        </w:tabs>
        <w:spacing w:line="240" w:lineRule="auto"/>
        <w:rPr>
          <w:szCs w:val="22"/>
        </w:rPr>
      </w:pPr>
    </w:p>
    <w:p w14:paraId="6C484CB6" w14:textId="77777777" w:rsidR="007F512D" w:rsidRPr="00B41D57" w:rsidRDefault="007F512D" w:rsidP="007F512D">
      <w:pPr>
        <w:tabs>
          <w:tab w:val="clear" w:pos="567"/>
        </w:tabs>
        <w:spacing w:line="240" w:lineRule="auto"/>
        <w:rPr>
          <w:szCs w:val="22"/>
        </w:rPr>
      </w:pPr>
    </w:p>
    <w:p w14:paraId="2CB3D309" w14:textId="77777777" w:rsidR="007F512D" w:rsidRPr="00B41D57" w:rsidRDefault="007F512D" w:rsidP="007F512D">
      <w:pPr>
        <w:tabs>
          <w:tab w:val="clear" w:pos="567"/>
        </w:tabs>
        <w:spacing w:line="240" w:lineRule="auto"/>
        <w:rPr>
          <w:szCs w:val="22"/>
        </w:rPr>
      </w:pPr>
    </w:p>
    <w:p w14:paraId="09B3CFEC" w14:textId="77777777" w:rsidR="007F512D" w:rsidRPr="00B41D57" w:rsidRDefault="007F512D" w:rsidP="007F512D">
      <w:pPr>
        <w:tabs>
          <w:tab w:val="clear" w:pos="567"/>
        </w:tabs>
        <w:spacing w:line="240" w:lineRule="auto"/>
        <w:rPr>
          <w:szCs w:val="22"/>
        </w:rPr>
      </w:pPr>
    </w:p>
    <w:p w14:paraId="523C476E" w14:textId="77777777" w:rsidR="007F512D" w:rsidRPr="00B41D57" w:rsidRDefault="007F512D" w:rsidP="007F512D">
      <w:pPr>
        <w:tabs>
          <w:tab w:val="clear" w:pos="567"/>
        </w:tabs>
        <w:spacing w:line="240" w:lineRule="auto"/>
        <w:rPr>
          <w:szCs w:val="22"/>
        </w:rPr>
      </w:pPr>
    </w:p>
    <w:p w14:paraId="6D8D37BA" w14:textId="77777777" w:rsidR="007F512D" w:rsidRPr="00B41D57" w:rsidRDefault="007F512D" w:rsidP="007F512D">
      <w:pPr>
        <w:tabs>
          <w:tab w:val="clear" w:pos="567"/>
        </w:tabs>
        <w:spacing w:line="240" w:lineRule="auto"/>
        <w:rPr>
          <w:szCs w:val="22"/>
        </w:rPr>
      </w:pPr>
    </w:p>
    <w:p w14:paraId="5D9FC292" w14:textId="77777777" w:rsidR="007F512D" w:rsidRPr="00B41D57" w:rsidRDefault="007F512D" w:rsidP="007F512D">
      <w:pPr>
        <w:tabs>
          <w:tab w:val="clear" w:pos="567"/>
        </w:tabs>
        <w:spacing w:line="240" w:lineRule="auto"/>
        <w:rPr>
          <w:szCs w:val="22"/>
        </w:rPr>
      </w:pPr>
    </w:p>
    <w:p w14:paraId="54F8395F" w14:textId="77777777" w:rsidR="007F512D" w:rsidRPr="00B41D57" w:rsidRDefault="007F512D" w:rsidP="007F512D">
      <w:pPr>
        <w:tabs>
          <w:tab w:val="clear" w:pos="567"/>
        </w:tabs>
        <w:spacing w:line="240" w:lineRule="auto"/>
        <w:rPr>
          <w:szCs w:val="22"/>
        </w:rPr>
      </w:pPr>
    </w:p>
    <w:p w14:paraId="51BDE5A6" w14:textId="77777777" w:rsidR="007F512D" w:rsidRPr="00B41D57" w:rsidRDefault="007F512D" w:rsidP="007F512D">
      <w:pPr>
        <w:tabs>
          <w:tab w:val="clear" w:pos="567"/>
        </w:tabs>
        <w:spacing w:line="240" w:lineRule="auto"/>
        <w:rPr>
          <w:szCs w:val="22"/>
        </w:rPr>
      </w:pPr>
    </w:p>
    <w:p w14:paraId="7D1FFFF8" w14:textId="77777777" w:rsidR="007F512D" w:rsidRPr="00B41D57" w:rsidRDefault="007F512D" w:rsidP="007F512D">
      <w:pPr>
        <w:tabs>
          <w:tab w:val="clear" w:pos="567"/>
        </w:tabs>
        <w:spacing w:line="240" w:lineRule="auto"/>
        <w:rPr>
          <w:szCs w:val="22"/>
        </w:rPr>
      </w:pPr>
    </w:p>
    <w:p w14:paraId="4FABD829" w14:textId="77777777" w:rsidR="007F512D" w:rsidRPr="00B41D57" w:rsidRDefault="007F512D" w:rsidP="007F512D">
      <w:pPr>
        <w:tabs>
          <w:tab w:val="clear" w:pos="567"/>
        </w:tabs>
        <w:spacing w:line="240" w:lineRule="auto"/>
        <w:rPr>
          <w:szCs w:val="22"/>
        </w:rPr>
      </w:pPr>
    </w:p>
    <w:p w14:paraId="0E907B88" w14:textId="77777777" w:rsidR="007F512D" w:rsidRPr="00B41D57" w:rsidRDefault="007F512D" w:rsidP="007F512D">
      <w:pPr>
        <w:tabs>
          <w:tab w:val="clear" w:pos="567"/>
        </w:tabs>
        <w:spacing w:line="240" w:lineRule="auto"/>
        <w:rPr>
          <w:szCs w:val="22"/>
        </w:rPr>
      </w:pPr>
    </w:p>
    <w:p w14:paraId="57DFD3B1" w14:textId="77777777" w:rsidR="007F512D" w:rsidRPr="00B41D57" w:rsidRDefault="007F512D" w:rsidP="007F512D">
      <w:pPr>
        <w:tabs>
          <w:tab w:val="clear" w:pos="567"/>
        </w:tabs>
        <w:spacing w:line="240" w:lineRule="auto"/>
        <w:rPr>
          <w:szCs w:val="22"/>
        </w:rPr>
      </w:pPr>
    </w:p>
    <w:p w14:paraId="40C90B7C" w14:textId="77777777" w:rsidR="007F512D" w:rsidRPr="00B41D57" w:rsidRDefault="007F512D" w:rsidP="007F512D">
      <w:pPr>
        <w:tabs>
          <w:tab w:val="clear" w:pos="567"/>
        </w:tabs>
        <w:spacing w:line="240" w:lineRule="auto"/>
        <w:rPr>
          <w:szCs w:val="22"/>
        </w:rPr>
      </w:pPr>
    </w:p>
    <w:p w14:paraId="7BCA7A3F" w14:textId="77777777" w:rsidR="007F512D" w:rsidRPr="00B41D57" w:rsidRDefault="007F512D" w:rsidP="007F512D">
      <w:pPr>
        <w:tabs>
          <w:tab w:val="clear" w:pos="567"/>
        </w:tabs>
        <w:spacing w:line="240" w:lineRule="auto"/>
        <w:rPr>
          <w:szCs w:val="22"/>
        </w:rPr>
      </w:pPr>
    </w:p>
    <w:p w14:paraId="21C0B9CD" w14:textId="77777777" w:rsidR="007F512D" w:rsidRPr="00B41D57" w:rsidRDefault="007F512D" w:rsidP="007F512D">
      <w:pPr>
        <w:tabs>
          <w:tab w:val="clear" w:pos="567"/>
        </w:tabs>
        <w:spacing w:line="240" w:lineRule="auto"/>
        <w:rPr>
          <w:szCs w:val="22"/>
        </w:rPr>
      </w:pPr>
    </w:p>
    <w:p w14:paraId="79A4AB23" w14:textId="77777777" w:rsidR="007F512D" w:rsidRPr="00B41D57" w:rsidRDefault="007F512D" w:rsidP="007F512D">
      <w:pPr>
        <w:tabs>
          <w:tab w:val="clear" w:pos="567"/>
        </w:tabs>
        <w:spacing w:line="240" w:lineRule="auto"/>
        <w:rPr>
          <w:szCs w:val="22"/>
        </w:rPr>
      </w:pPr>
    </w:p>
    <w:p w14:paraId="3D464A5D" w14:textId="77777777" w:rsidR="007F512D" w:rsidRPr="00B41D57" w:rsidRDefault="007F512D" w:rsidP="007F512D">
      <w:pPr>
        <w:tabs>
          <w:tab w:val="clear" w:pos="567"/>
        </w:tabs>
        <w:spacing w:line="240" w:lineRule="auto"/>
        <w:rPr>
          <w:szCs w:val="22"/>
        </w:rPr>
      </w:pPr>
    </w:p>
    <w:p w14:paraId="4C9F93F2" w14:textId="77777777" w:rsidR="007F512D" w:rsidRPr="00B41D57" w:rsidRDefault="007F512D" w:rsidP="007F512D">
      <w:pPr>
        <w:tabs>
          <w:tab w:val="clear" w:pos="567"/>
        </w:tabs>
        <w:spacing w:line="240" w:lineRule="auto"/>
        <w:rPr>
          <w:szCs w:val="22"/>
        </w:rPr>
      </w:pPr>
    </w:p>
    <w:p w14:paraId="20FB93AB" w14:textId="77777777" w:rsidR="007F512D" w:rsidRPr="00B41D57" w:rsidRDefault="007F512D" w:rsidP="007F512D">
      <w:pPr>
        <w:tabs>
          <w:tab w:val="clear" w:pos="567"/>
        </w:tabs>
        <w:spacing w:line="240" w:lineRule="auto"/>
        <w:rPr>
          <w:szCs w:val="22"/>
        </w:rPr>
      </w:pPr>
    </w:p>
    <w:p w14:paraId="6E5CB80C" w14:textId="77777777" w:rsidR="007F512D" w:rsidRDefault="007F512D" w:rsidP="007F512D">
      <w:pPr>
        <w:tabs>
          <w:tab w:val="clear" w:pos="567"/>
        </w:tabs>
        <w:spacing w:line="240" w:lineRule="auto"/>
        <w:rPr>
          <w:szCs w:val="22"/>
        </w:rPr>
      </w:pPr>
    </w:p>
    <w:p w14:paraId="760D95A6" w14:textId="77777777" w:rsidR="007F512D" w:rsidRPr="00B41D57" w:rsidRDefault="007F512D" w:rsidP="007F512D">
      <w:pPr>
        <w:tabs>
          <w:tab w:val="clear" w:pos="567"/>
        </w:tabs>
        <w:spacing w:line="240" w:lineRule="auto"/>
        <w:rPr>
          <w:szCs w:val="22"/>
        </w:rPr>
      </w:pPr>
    </w:p>
    <w:p w14:paraId="0232F3B9" w14:textId="750E9812" w:rsidR="007F512D" w:rsidRPr="00B41D57" w:rsidRDefault="00C26C57" w:rsidP="009E5E4E">
      <w:pPr>
        <w:pStyle w:val="Style3"/>
        <w:numPr>
          <w:ilvl w:val="0"/>
          <w:numId w:val="0"/>
        </w:numPr>
      </w:pPr>
      <w:r>
        <w:t xml:space="preserve">B. </w:t>
      </w:r>
      <w:r w:rsidR="007F512D" w:rsidRPr="00B41D57">
        <w:t>PŘÍBALOVÁ INFORMACE</w:t>
      </w:r>
    </w:p>
    <w:p w14:paraId="77BCC1C4" w14:textId="77777777" w:rsidR="007F512D" w:rsidRPr="00B41D57" w:rsidRDefault="007F512D" w:rsidP="007F512D">
      <w:pPr>
        <w:tabs>
          <w:tab w:val="clear" w:pos="567"/>
        </w:tabs>
        <w:spacing w:line="240" w:lineRule="auto"/>
        <w:jc w:val="center"/>
        <w:rPr>
          <w:szCs w:val="22"/>
        </w:rPr>
      </w:pPr>
      <w:r w:rsidRPr="00B41D57">
        <w:br w:type="page"/>
      </w:r>
      <w:r w:rsidRPr="00B41D57">
        <w:rPr>
          <w:b/>
          <w:szCs w:val="22"/>
        </w:rPr>
        <w:lastRenderedPageBreak/>
        <w:t>PŘÍBALOVÁ INFORMACE</w:t>
      </w:r>
    </w:p>
    <w:p w14:paraId="1F6279F0" w14:textId="77777777" w:rsidR="007F512D" w:rsidRPr="00B41D57" w:rsidRDefault="007F512D" w:rsidP="007F512D">
      <w:pPr>
        <w:tabs>
          <w:tab w:val="clear" w:pos="567"/>
        </w:tabs>
        <w:spacing w:line="240" w:lineRule="auto"/>
        <w:rPr>
          <w:szCs w:val="22"/>
        </w:rPr>
      </w:pPr>
    </w:p>
    <w:p w14:paraId="1FECAECD" w14:textId="77777777" w:rsidR="007F512D" w:rsidRPr="00B41D57" w:rsidRDefault="007F512D" w:rsidP="007F512D">
      <w:pPr>
        <w:tabs>
          <w:tab w:val="clear" w:pos="567"/>
        </w:tabs>
        <w:spacing w:line="240" w:lineRule="auto"/>
        <w:rPr>
          <w:szCs w:val="22"/>
        </w:rPr>
      </w:pPr>
    </w:p>
    <w:p w14:paraId="55FAB44E" w14:textId="77777777" w:rsidR="007F512D" w:rsidRPr="00B41D57" w:rsidRDefault="007F512D" w:rsidP="007F512D">
      <w:pPr>
        <w:pStyle w:val="Style1"/>
      </w:pPr>
      <w:bookmarkStart w:id="0" w:name="_Hlk127278274"/>
      <w:r w:rsidRPr="00B41D57">
        <w:rPr>
          <w:highlight w:val="lightGray"/>
        </w:rPr>
        <w:t>1.</w:t>
      </w:r>
      <w:r w:rsidRPr="00B41D57">
        <w:tab/>
        <w:t>Název veterinárního léčivého přípravku</w:t>
      </w:r>
    </w:p>
    <w:bookmarkEnd w:id="0"/>
    <w:p w14:paraId="0DE3F945" w14:textId="77777777" w:rsidR="007F512D" w:rsidRPr="00B41D57" w:rsidRDefault="007F512D" w:rsidP="007F512D">
      <w:pPr>
        <w:tabs>
          <w:tab w:val="clear" w:pos="567"/>
        </w:tabs>
        <w:spacing w:line="240" w:lineRule="auto"/>
        <w:rPr>
          <w:szCs w:val="22"/>
        </w:rPr>
      </w:pPr>
    </w:p>
    <w:p w14:paraId="792C0440" w14:textId="77777777" w:rsidR="00726215" w:rsidRPr="00726215" w:rsidRDefault="00726215" w:rsidP="00726215">
      <w:pPr>
        <w:tabs>
          <w:tab w:val="clear" w:pos="567"/>
        </w:tabs>
        <w:spacing w:line="240" w:lineRule="auto"/>
        <w:ind w:left="567" w:hanging="567"/>
        <w:rPr>
          <w:szCs w:val="22"/>
        </w:rPr>
      </w:pPr>
      <w:r w:rsidRPr="00726215">
        <w:rPr>
          <w:color w:val="000000"/>
          <w:szCs w:val="22"/>
        </w:rPr>
        <w:t>CEVAXEL-RTU 50 mg / ml, injekční suspenze pro skot a prasata</w:t>
      </w:r>
    </w:p>
    <w:p w14:paraId="6CE99FBF" w14:textId="77777777" w:rsidR="00726215" w:rsidRPr="00726215" w:rsidRDefault="00726215" w:rsidP="00726215">
      <w:pPr>
        <w:tabs>
          <w:tab w:val="clear" w:pos="567"/>
        </w:tabs>
        <w:spacing w:line="240" w:lineRule="auto"/>
        <w:ind w:left="567" w:hanging="567"/>
        <w:rPr>
          <w:b/>
        </w:rPr>
      </w:pPr>
    </w:p>
    <w:p w14:paraId="59E9FF06" w14:textId="77777777" w:rsidR="007F512D" w:rsidRPr="00B41D57" w:rsidRDefault="007F512D" w:rsidP="007F512D">
      <w:pPr>
        <w:tabs>
          <w:tab w:val="clear" w:pos="567"/>
        </w:tabs>
        <w:spacing w:line="240" w:lineRule="auto"/>
        <w:rPr>
          <w:szCs w:val="22"/>
        </w:rPr>
      </w:pPr>
    </w:p>
    <w:p w14:paraId="00E96891" w14:textId="77777777" w:rsidR="007F512D" w:rsidRPr="00B41D57" w:rsidRDefault="007F512D" w:rsidP="007F512D">
      <w:pPr>
        <w:tabs>
          <w:tab w:val="clear" w:pos="567"/>
        </w:tabs>
        <w:spacing w:line="240" w:lineRule="auto"/>
        <w:rPr>
          <w:szCs w:val="22"/>
        </w:rPr>
      </w:pPr>
    </w:p>
    <w:p w14:paraId="155D3EEC" w14:textId="77777777" w:rsidR="007F512D" w:rsidRPr="00B41D57" w:rsidRDefault="007F512D" w:rsidP="007F512D">
      <w:pPr>
        <w:pStyle w:val="Style1"/>
      </w:pPr>
      <w:bookmarkStart w:id="1" w:name="_Hlk127278284"/>
      <w:r w:rsidRPr="00B41D57">
        <w:rPr>
          <w:highlight w:val="lightGray"/>
        </w:rPr>
        <w:t>2.</w:t>
      </w:r>
      <w:r w:rsidRPr="00B41D57">
        <w:tab/>
        <w:t>Složení</w:t>
      </w:r>
    </w:p>
    <w:bookmarkEnd w:id="1"/>
    <w:p w14:paraId="354398B6" w14:textId="77777777" w:rsidR="007F512D" w:rsidRPr="00B41D57" w:rsidRDefault="007F512D" w:rsidP="007F512D">
      <w:pPr>
        <w:tabs>
          <w:tab w:val="clear" w:pos="567"/>
        </w:tabs>
        <w:spacing w:line="240" w:lineRule="auto"/>
        <w:rPr>
          <w:iCs/>
          <w:szCs w:val="22"/>
        </w:rPr>
      </w:pPr>
    </w:p>
    <w:p w14:paraId="5A53BB21" w14:textId="79716A94" w:rsidR="00726215" w:rsidRPr="00726215" w:rsidRDefault="00726215" w:rsidP="00726215">
      <w:pPr>
        <w:tabs>
          <w:tab w:val="clear" w:pos="567"/>
        </w:tabs>
        <w:spacing w:line="240" w:lineRule="auto"/>
        <w:textAlignment w:val="top"/>
        <w:rPr>
          <w:color w:val="888888"/>
          <w:szCs w:val="22"/>
          <w:lang w:val="sk-SK" w:eastAsia="sk-SK"/>
        </w:rPr>
      </w:pPr>
      <w:r w:rsidRPr="00726215">
        <w:rPr>
          <w:color w:val="000000"/>
          <w:szCs w:val="22"/>
          <w:lang w:eastAsia="sk-SK"/>
        </w:rPr>
        <w:t>Každý ml obsahuje:</w:t>
      </w:r>
      <w:r w:rsidRPr="00726215">
        <w:rPr>
          <w:color w:val="000000"/>
          <w:szCs w:val="22"/>
          <w:lang w:eastAsia="sk-SK"/>
        </w:rPr>
        <w:br/>
      </w:r>
      <w:r w:rsidR="006F414D" w:rsidRPr="00B41D57">
        <w:rPr>
          <w:b/>
          <w:szCs w:val="22"/>
        </w:rPr>
        <w:t>Léčivá</w:t>
      </w:r>
      <w:r w:rsidR="006F414D" w:rsidRPr="00BF3D7D" w:rsidDel="00BF3D7D">
        <w:rPr>
          <w:b/>
          <w:color w:val="000000"/>
          <w:szCs w:val="22"/>
          <w:lang w:eastAsia="sk-SK"/>
        </w:rPr>
        <w:t xml:space="preserve"> </w:t>
      </w:r>
      <w:r w:rsidR="006F414D" w:rsidRPr="00BF3D7D">
        <w:rPr>
          <w:b/>
          <w:color w:val="000000"/>
          <w:szCs w:val="22"/>
          <w:lang w:eastAsia="sk-SK"/>
        </w:rPr>
        <w:t>látka:</w:t>
      </w:r>
      <w:r w:rsidR="006F414D">
        <w:rPr>
          <w:b/>
          <w:color w:val="000000"/>
          <w:szCs w:val="22"/>
          <w:lang w:eastAsia="sk-SK"/>
        </w:rPr>
        <w:t xml:space="preserve"> </w:t>
      </w:r>
      <w:r w:rsidRPr="00726215">
        <w:rPr>
          <w:color w:val="000000"/>
          <w:szCs w:val="22"/>
          <w:lang w:eastAsia="sk-SK"/>
        </w:rPr>
        <w:t xml:space="preserve">Ceftiofurum </w:t>
      </w:r>
      <w:r w:rsidRPr="00726215">
        <w:rPr>
          <w:szCs w:val="22"/>
        </w:rPr>
        <w:t>(ut hydrochloridum)</w:t>
      </w:r>
      <w:r w:rsidRPr="00726215">
        <w:rPr>
          <w:color w:val="000000"/>
          <w:szCs w:val="22"/>
          <w:lang w:eastAsia="sk-SK"/>
        </w:rPr>
        <w:t xml:space="preserve"> 50 mg </w:t>
      </w:r>
    </w:p>
    <w:p w14:paraId="7D464D33" w14:textId="77777777" w:rsidR="007F512D" w:rsidRDefault="007F512D" w:rsidP="007F512D">
      <w:pPr>
        <w:tabs>
          <w:tab w:val="clear" w:pos="567"/>
        </w:tabs>
        <w:spacing w:line="240" w:lineRule="auto"/>
        <w:rPr>
          <w:szCs w:val="22"/>
        </w:rPr>
      </w:pPr>
    </w:p>
    <w:p w14:paraId="056C63C6" w14:textId="75D17895" w:rsidR="006F414D" w:rsidRDefault="006F414D" w:rsidP="006F414D">
      <w:pPr>
        <w:rPr>
          <w:szCs w:val="22"/>
        </w:rPr>
      </w:pPr>
      <w:r w:rsidRPr="00CE01FA">
        <w:rPr>
          <w:szCs w:val="22"/>
        </w:rPr>
        <w:t>Olej</w:t>
      </w:r>
      <w:r>
        <w:rPr>
          <w:szCs w:val="22"/>
        </w:rPr>
        <w:t>ová,</w:t>
      </w:r>
      <w:r w:rsidRPr="00CE01FA">
        <w:rPr>
          <w:szCs w:val="22"/>
        </w:rPr>
        <w:t xml:space="preserve"> béžov</w:t>
      </w:r>
      <w:r>
        <w:rPr>
          <w:szCs w:val="22"/>
        </w:rPr>
        <w:t>á</w:t>
      </w:r>
      <w:r w:rsidRPr="00CE01FA">
        <w:rPr>
          <w:szCs w:val="22"/>
        </w:rPr>
        <w:t xml:space="preserve"> </w:t>
      </w:r>
      <w:r>
        <w:rPr>
          <w:szCs w:val="22"/>
        </w:rPr>
        <w:t>suspenze.</w:t>
      </w:r>
    </w:p>
    <w:p w14:paraId="59CD6104" w14:textId="77777777" w:rsidR="00726215" w:rsidRDefault="00726215" w:rsidP="007F512D">
      <w:pPr>
        <w:tabs>
          <w:tab w:val="clear" w:pos="567"/>
        </w:tabs>
        <w:spacing w:line="240" w:lineRule="auto"/>
        <w:rPr>
          <w:szCs w:val="22"/>
        </w:rPr>
      </w:pPr>
    </w:p>
    <w:p w14:paraId="723CC6CD" w14:textId="77777777" w:rsidR="006F414D" w:rsidRPr="00B41D57" w:rsidRDefault="006F414D" w:rsidP="007F512D">
      <w:pPr>
        <w:tabs>
          <w:tab w:val="clear" w:pos="567"/>
        </w:tabs>
        <w:spacing w:line="240" w:lineRule="auto"/>
        <w:rPr>
          <w:szCs w:val="22"/>
        </w:rPr>
      </w:pPr>
    </w:p>
    <w:p w14:paraId="0D0CA63D" w14:textId="77777777" w:rsidR="007F512D" w:rsidRPr="00B41D57" w:rsidRDefault="007F512D" w:rsidP="007F512D">
      <w:pPr>
        <w:pStyle w:val="Style1"/>
      </w:pPr>
      <w:bookmarkStart w:id="2" w:name="_Hlk127278301"/>
      <w:r w:rsidRPr="00B41D57">
        <w:rPr>
          <w:highlight w:val="lightGray"/>
        </w:rPr>
        <w:t>3.</w:t>
      </w:r>
      <w:r w:rsidRPr="00B41D57">
        <w:tab/>
        <w:t>Cílové druhy zvířat</w:t>
      </w:r>
    </w:p>
    <w:bookmarkEnd w:id="2"/>
    <w:p w14:paraId="3952220A" w14:textId="77777777" w:rsidR="007F512D" w:rsidRPr="00B41D57" w:rsidRDefault="007F512D" w:rsidP="007F512D">
      <w:pPr>
        <w:tabs>
          <w:tab w:val="clear" w:pos="567"/>
        </w:tabs>
        <w:spacing w:line="240" w:lineRule="auto"/>
        <w:rPr>
          <w:szCs w:val="22"/>
        </w:rPr>
      </w:pPr>
    </w:p>
    <w:p w14:paraId="21237EC9" w14:textId="77777777" w:rsidR="00726215" w:rsidRPr="00726215" w:rsidRDefault="00726215" w:rsidP="00726215">
      <w:pPr>
        <w:tabs>
          <w:tab w:val="clear" w:pos="567"/>
        </w:tabs>
        <w:spacing w:line="240" w:lineRule="auto"/>
        <w:ind w:left="567" w:hanging="567"/>
      </w:pPr>
      <w:r w:rsidRPr="00726215">
        <w:t>Skot a prasata.</w:t>
      </w:r>
    </w:p>
    <w:p w14:paraId="1EF0B619" w14:textId="77777777" w:rsidR="007F512D" w:rsidRDefault="007F512D" w:rsidP="007F512D">
      <w:pPr>
        <w:tabs>
          <w:tab w:val="clear" w:pos="567"/>
        </w:tabs>
        <w:spacing w:line="240" w:lineRule="auto"/>
        <w:rPr>
          <w:szCs w:val="22"/>
        </w:rPr>
      </w:pPr>
    </w:p>
    <w:p w14:paraId="732D05BF" w14:textId="77777777" w:rsidR="00726215" w:rsidRPr="00B41D57" w:rsidRDefault="00726215" w:rsidP="007F512D">
      <w:pPr>
        <w:tabs>
          <w:tab w:val="clear" w:pos="567"/>
        </w:tabs>
        <w:spacing w:line="240" w:lineRule="auto"/>
        <w:rPr>
          <w:szCs w:val="22"/>
        </w:rPr>
      </w:pPr>
    </w:p>
    <w:p w14:paraId="1386961B" w14:textId="77777777" w:rsidR="007F512D" w:rsidRPr="00B41D57" w:rsidRDefault="007F512D" w:rsidP="007F512D">
      <w:pPr>
        <w:pStyle w:val="Style1"/>
      </w:pPr>
      <w:bookmarkStart w:id="3" w:name="_Hlk127278314"/>
      <w:r w:rsidRPr="00B41D57">
        <w:rPr>
          <w:highlight w:val="lightGray"/>
        </w:rPr>
        <w:t>4.</w:t>
      </w:r>
      <w:r w:rsidRPr="00B41D57">
        <w:tab/>
        <w:t>Indikace pro použití</w:t>
      </w:r>
    </w:p>
    <w:bookmarkEnd w:id="3"/>
    <w:p w14:paraId="2D39460D" w14:textId="77777777" w:rsidR="007F512D" w:rsidRPr="00B41D57" w:rsidRDefault="007F512D" w:rsidP="007F512D">
      <w:pPr>
        <w:tabs>
          <w:tab w:val="clear" w:pos="567"/>
        </w:tabs>
        <w:spacing w:line="240" w:lineRule="auto"/>
        <w:rPr>
          <w:szCs w:val="22"/>
        </w:rPr>
      </w:pPr>
    </w:p>
    <w:p w14:paraId="37CE9F8C" w14:textId="77777777" w:rsidR="006F414D" w:rsidRDefault="00726215" w:rsidP="00726215">
      <w:pPr>
        <w:tabs>
          <w:tab w:val="clear" w:pos="567"/>
        </w:tabs>
        <w:spacing w:line="240" w:lineRule="auto"/>
        <w:textAlignment w:val="top"/>
        <w:rPr>
          <w:color w:val="000000"/>
          <w:szCs w:val="22"/>
          <w:lang w:eastAsia="sk-SK"/>
        </w:rPr>
      </w:pPr>
      <w:r w:rsidRPr="00726215">
        <w:rPr>
          <w:color w:val="000000"/>
          <w:szCs w:val="22"/>
          <w:lang w:eastAsia="sk-SK"/>
        </w:rPr>
        <w:t>Infekce vyvolané bakteriemi citlivými na ceftiofur.</w:t>
      </w:r>
      <w:r w:rsidRPr="00726215">
        <w:rPr>
          <w:color w:val="000000"/>
          <w:szCs w:val="22"/>
          <w:lang w:eastAsia="sk-SK"/>
        </w:rPr>
        <w:br/>
      </w:r>
    </w:p>
    <w:p w14:paraId="1B5CDA68" w14:textId="77777777" w:rsidR="006F414D" w:rsidRPr="006F414D" w:rsidRDefault="006F414D" w:rsidP="006F414D">
      <w:pPr>
        <w:tabs>
          <w:tab w:val="clear" w:pos="567"/>
        </w:tabs>
        <w:spacing w:line="240" w:lineRule="auto"/>
        <w:textAlignment w:val="top"/>
        <w:rPr>
          <w:color w:val="000000"/>
          <w:szCs w:val="22"/>
          <w:lang w:eastAsia="sk-SK"/>
        </w:rPr>
      </w:pPr>
      <w:r w:rsidRPr="006F414D">
        <w:rPr>
          <w:b/>
          <w:color w:val="000000"/>
          <w:szCs w:val="22"/>
          <w:lang w:eastAsia="sk-SK"/>
        </w:rPr>
        <w:t>Skot:</w:t>
      </w:r>
    </w:p>
    <w:p w14:paraId="54339721" w14:textId="0787E619" w:rsidR="006F414D" w:rsidRPr="006F414D" w:rsidRDefault="006F414D" w:rsidP="006F414D">
      <w:pPr>
        <w:tabs>
          <w:tab w:val="clear" w:pos="567"/>
        </w:tabs>
        <w:spacing w:line="240" w:lineRule="auto"/>
        <w:textAlignment w:val="top"/>
        <w:rPr>
          <w:color w:val="000000"/>
          <w:szCs w:val="22"/>
          <w:lang w:eastAsia="sk-SK"/>
        </w:rPr>
      </w:pPr>
      <w:r w:rsidRPr="006F414D">
        <w:rPr>
          <w:color w:val="000000"/>
          <w:szCs w:val="22"/>
          <w:lang w:eastAsia="sk-SK"/>
        </w:rPr>
        <w:t xml:space="preserve">Léčba respiračního bakteriálního onemocnění vyvolaného zástupci druhů </w:t>
      </w:r>
      <w:r w:rsidRPr="006F414D">
        <w:rPr>
          <w:i/>
          <w:iCs/>
          <w:szCs w:val="22"/>
        </w:rPr>
        <w:t>Histophilus somni</w:t>
      </w:r>
      <w:r w:rsidRPr="006F414D">
        <w:rPr>
          <w:i/>
          <w:color w:val="000000"/>
          <w:szCs w:val="22"/>
          <w:lang w:eastAsia="sk-SK"/>
        </w:rPr>
        <w:t xml:space="preserve">, Mannheimia haemolytica </w:t>
      </w:r>
      <w:r w:rsidRPr="006F414D">
        <w:rPr>
          <w:color w:val="000000"/>
          <w:szCs w:val="22"/>
          <w:lang w:eastAsia="sk-SK"/>
        </w:rPr>
        <w:t>a</w:t>
      </w:r>
      <w:r w:rsidRPr="006F414D">
        <w:rPr>
          <w:i/>
          <w:iCs/>
          <w:szCs w:val="22"/>
        </w:rPr>
        <w:t xml:space="preserve"> </w:t>
      </w:r>
      <w:r w:rsidRPr="006F414D">
        <w:rPr>
          <w:i/>
          <w:color w:val="000000"/>
          <w:szCs w:val="22"/>
          <w:lang w:eastAsia="sk-SK"/>
        </w:rPr>
        <w:t>Pasteurella multocida</w:t>
      </w:r>
      <w:r w:rsidRPr="006F414D">
        <w:rPr>
          <w:iCs/>
          <w:szCs w:val="22"/>
        </w:rPr>
        <w:t>.</w:t>
      </w:r>
      <w:r w:rsidRPr="006F414D">
        <w:rPr>
          <w:i/>
          <w:color w:val="000000"/>
          <w:szCs w:val="22"/>
          <w:lang w:eastAsia="sk-SK"/>
        </w:rPr>
        <w:br/>
      </w:r>
      <w:r w:rsidRPr="006F414D">
        <w:rPr>
          <w:color w:val="000000"/>
          <w:szCs w:val="22"/>
          <w:lang w:eastAsia="sk-SK"/>
        </w:rPr>
        <w:t xml:space="preserve">Léčba akutní interdigitální nekrobacilózy (panaritium, hniloba paznehtů) skotu vyvolané kmeny </w:t>
      </w:r>
      <w:r w:rsidRPr="006F414D">
        <w:rPr>
          <w:i/>
          <w:color w:val="000000"/>
          <w:szCs w:val="22"/>
          <w:lang w:eastAsia="sk-SK"/>
        </w:rPr>
        <w:t>Fusobacterium necrophorum</w:t>
      </w:r>
      <w:r w:rsidR="006A4500">
        <w:rPr>
          <w:i/>
          <w:color w:val="000000"/>
          <w:szCs w:val="22"/>
          <w:lang w:eastAsia="sk-SK"/>
        </w:rPr>
        <w:t xml:space="preserve">,Prevotella </w:t>
      </w:r>
      <w:r w:rsidRPr="006F414D">
        <w:rPr>
          <w:i/>
          <w:color w:val="000000"/>
          <w:szCs w:val="22"/>
          <w:lang w:eastAsia="sk-SK"/>
        </w:rPr>
        <w:t>melaninogenic</w:t>
      </w:r>
      <w:r w:rsidR="006A4500">
        <w:rPr>
          <w:i/>
          <w:color w:val="000000"/>
          <w:szCs w:val="22"/>
          <w:lang w:eastAsia="sk-SK"/>
        </w:rPr>
        <w:t>a</w:t>
      </w:r>
      <w:r w:rsidRPr="006F414D">
        <w:rPr>
          <w:color w:val="000000"/>
          <w:szCs w:val="22"/>
          <w:lang w:eastAsia="sk-SK"/>
        </w:rPr>
        <w:t xml:space="preserve"> </w:t>
      </w:r>
      <w:r w:rsidR="006A4500">
        <w:rPr>
          <w:color w:val="000000"/>
          <w:szCs w:val="22"/>
          <w:lang w:eastAsia="sk-SK"/>
        </w:rPr>
        <w:t xml:space="preserve">a </w:t>
      </w:r>
      <w:r w:rsidRPr="006F414D">
        <w:rPr>
          <w:i/>
          <w:color w:val="000000"/>
          <w:szCs w:val="22"/>
          <w:lang w:eastAsia="sk-SK"/>
        </w:rPr>
        <w:t>Porphyromonas asaccharolytica</w:t>
      </w:r>
    </w:p>
    <w:p w14:paraId="5A39B48A" w14:textId="433BC862" w:rsidR="006F414D" w:rsidRPr="006F414D" w:rsidRDefault="006F414D" w:rsidP="006F414D">
      <w:pPr>
        <w:tabs>
          <w:tab w:val="clear" w:pos="567"/>
        </w:tabs>
        <w:spacing w:line="240" w:lineRule="auto"/>
        <w:textAlignment w:val="top"/>
        <w:rPr>
          <w:color w:val="000000"/>
          <w:szCs w:val="22"/>
          <w:lang w:eastAsia="sk-SK"/>
        </w:rPr>
      </w:pPr>
      <w:r w:rsidRPr="006F414D">
        <w:rPr>
          <w:color w:val="000000"/>
          <w:szCs w:val="22"/>
          <w:lang w:eastAsia="sk-SK"/>
        </w:rPr>
        <w:t xml:space="preserve">Léčba akutní poporodní (puerperální) metritidy v době do 10 dnů po otelení vyvolané zástupci druhů </w:t>
      </w:r>
      <w:r w:rsidRPr="006F414D">
        <w:rPr>
          <w:i/>
          <w:color w:val="000000"/>
          <w:szCs w:val="22"/>
          <w:lang w:eastAsia="sk-SK"/>
        </w:rPr>
        <w:t>Escherichia coli</w:t>
      </w:r>
      <w:r w:rsidRPr="006F414D">
        <w:rPr>
          <w:color w:val="000000"/>
          <w:szCs w:val="22"/>
          <w:lang w:eastAsia="sk-SK"/>
        </w:rPr>
        <w:t xml:space="preserve">, </w:t>
      </w:r>
      <w:r w:rsidRPr="006F414D">
        <w:rPr>
          <w:i/>
          <w:color w:val="000000"/>
          <w:szCs w:val="22"/>
          <w:lang w:eastAsia="sk-SK"/>
        </w:rPr>
        <w:t>Trueperella pyogenes</w:t>
      </w:r>
      <w:r w:rsidRPr="006F414D">
        <w:rPr>
          <w:color w:val="000000"/>
          <w:szCs w:val="22"/>
          <w:lang w:eastAsia="sk-SK"/>
        </w:rPr>
        <w:t xml:space="preserve"> a </w:t>
      </w:r>
      <w:r w:rsidRPr="006F414D">
        <w:rPr>
          <w:i/>
          <w:color w:val="000000"/>
          <w:szCs w:val="22"/>
          <w:lang w:eastAsia="sk-SK"/>
        </w:rPr>
        <w:t>Fusobacterium necrophorum</w:t>
      </w:r>
      <w:r w:rsidRPr="006F414D">
        <w:rPr>
          <w:color w:val="000000"/>
          <w:szCs w:val="22"/>
          <w:lang w:eastAsia="sk-SK"/>
        </w:rPr>
        <w:t>: tato indikace je omezena pouze na případy, ve kterých léčba jinou antimikrobiální látkou selhala.</w:t>
      </w:r>
    </w:p>
    <w:p w14:paraId="11149E06" w14:textId="29B95DFF" w:rsidR="00726215" w:rsidRPr="00726215" w:rsidRDefault="00726215" w:rsidP="00726215">
      <w:pPr>
        <w:tabs>
          <w:tab w:val="clear" w:pos="567"/>
        </w:tabs>
        <w:spacing w:line="240" w:lineRule="auto"/>
        <w:textAlignment w:val="top"/>
        <w:rPr>
          <w:color w:val="888888"/>
          <w:szCs w:val="22"/>
          <w:lang w:eastAsia="sk-SK"/>
        </w:rPr>
      </w:pPr>
      <w:r w:rsidRPr="00726215">
        <w:rPr>
          <w:color w:val="000000"/>
          <w:szCs w:val="22"/>
          <w:lang w:eastAsia="sk-SK"/>
        </w:rPr>
        <w:br/>
      </w:r>
      <w:r w:rsidRPr="00726215">
        <w:rPr>
          <w:b/>
          <w:color w:val="000000"/>
          <w:szCs w:val="22"/>
          <w:lang w:eastAsia="sk-SK"/>
        </w:rPr>
        <w:t>Prasata:</w:t>
      </w:r>
      <w:r w:rsidRPr="00726215">
        <w:rPr>
          <w:b/>
          <w:color w:val="000000"/>
          <w:szCs w:val="22"/>
          <w:lang w:eastAsia="sk-SK"/>
        </w:rPr>
        <w:br/>
      </w:r>
      <w:r w:rsidRPr="00726215">
        <w:rPr>
          <w:color w:val="000000"/>
          <w:szCs w:val="22"/>
          <w:lang w:eastAsia="sk-SK"/>
        </w:rPr>
        <w:t xml:space="preserve">Léčba respiračního bakteriálního onemocnění vyvolaného zástupci druhů </w:t>
      </w:r>
      <w:r w:rsidRPr="00726215">
        <w:rPr>
          <w:i/>
          <w:color w:val="000000"/>
          <w:szCs w:val="22"/>
          <w:lang w:eastAsia="sk-SK"/>
        </w:rPr>
        <w:t>Pasteurella multocida</w:t>
      </w:r>
      <w:r w:rsidRPr="00726215">
        <w:rPr>
          <w:color w:val="000000"/>
          <w:szCs w:val="22"/>
          <w:lang w:eastAsia="sk-SK"/>
        </w:rPr>
        <w:t xml:space="preserve">, </w:t>
      </w:r>
      <w:r w:rsidRPr="00726215">
        <w:rPr>
          <w:i/>
          <w:color w:val="000000"/>
          <w:szCs w:val="22"/>
          <w:lang w:eastAsia="sk-SK"/>
        </w:rPr>
        <w:t>Actinobacillus</w:t>
      </w:r>
      <w:r w:rsidRPr="00726215">
        <w:rPr>
          <w:color w:val="000000"/>
          <w:szCs w:val="22"/>
          <w:lang w:eastAsia="sk-SK"/>
        </w:rPr>
        <w:t xml:space="preserve"> </w:t>
      </w:r>
      <w:r w:rsidRPr="00726215">
        <w:rPr>
          <w:i/>
          <w:iCs/>
        </w:rPr>
        <w:t>pleuropneumoniae</w:t>
      </w:r>
      <w:r w:rsidRPr="00726215">
        <w:rPr>
          <w:color w:val="000000"/>
          <w:szCs w:val="22"/>
          <w:lang w:eastAsia="sk-SK"/>
        </w:rPr>
        <w:t xml:space="preserve"> a </w:t>
      </w:r>
      <w:r w:rsidRPr="00726215">
        <w:rPr>
          <w:i/>
          <w:color w:val="000000"/>
          <w:szCs w:val="22"/>
          <w:lang w:eastAsia="sk-SK"/>
        </w:rPr>
        <w:t>Streptococcus suis</w:t>
      </w:r>
      <w:r w:rsidRPr="00726215">
        <w:rPr>
          <w:color w:val="000000"/>
          <w:szCs w:val="22"/>
          <w:lang w:eastAsia="sk-SK"/>
        </w:rPr>
        <w:t>.</w:t>
      </w:r>
    </w:p>
    <w:p w14:paraId="09413C10" w14:textId="77777777" w:rsidR="007F512D" w:rsidRDefault="007F512D" w:rsidP="007F512D">
      <w:pPr>
        <w:tabs>
          <w:tab w:val="clear" w:pos="567"/>
        </w:tabs>
        <w:spacing w:line="240" w:lineRule="auto"/>
        <w:rPr>
          <w:szCs w:val="22"/>
        </w:rPr>
      </w:pPr>
    </w:p>
    <w:p w14:paraId="79C12608" w14:textId="77777777" w:rsidR="00726215" w:rsidRPr="00B41D57" w:rsidRDefault="00726215" w:rsidP="007F512D">
      <w:pPr>
        <w:tabs>
          <w:tab w:val="clear" w:pos="567"/>
        </w:tabs>
        <w:spacing w:line="240" w:lineRule="auto"/>
        <w:rPr>
          <w:szCs w:val="22"/>
        </w:rPr>
      </w:pPr>
    </w:p>
    <w:p w14:paraId="26A9F566" w14:textId="77777777" w:rsidR="007F512D" w:rsidRPr="00B41D57" w:rsidRDefault="007F512D" w:rsidP="007F512D">
      <w:pPr>
        <w:pStyle w:val="Style1"/>
      </w:pPr>
      <w:bookmarkStart w:id="4" w:name="_Hlk127278330"/>
      <w:r w:rsidRPr="00B41D57">
        <w:rPr>
          <w:highlight w:val="lightGray"/>
        </w:rPr>
        <w:t>5.</w:t>
      </w:r>
      <w:r w:rsidRPr="00B41D57">
        <w:tab/>
        <w:t>Kontraindikace</w:t>
      </w:r>
    </w:p>
    <w:bookmarkEnd w:id="4"/>
    <w:p w14:paraId="61381DBF" w14:textId="77777777" w:rsidR="007F512D" w:rsidRPr="00B41D57" w:rsidRDefault="007F512D" w:rsidP="007F512D">
      <w:pPr>
        <w:tabs>
          <w:tab w:val="clear" w:pos="567"/>
        </w:tabs>
        <w:spacing w:line="240" w:lineRule="auto"/>
        <w:rPr>
          <w:szCs w:val="22"/>
        </w:rPr>
      </w:pPr>
    </w:p>
    <w:p w14:paraId="3E7313A9" w14:textId="2C87D9EF" w:rsidR="006F414D" w:rsidRPr="006F414D" w:rsidRDefault="006F414D" w:rsidP="006F414D">
      <w:pPr>
        <w:tabs>
          <w:tab w:val="clear" w:pos="567"/>
        </w:tabs>
        <w:spacing w:line="240" w:lineRule="auto"/>
        <w:textAlignment w:val="top"/>
        <w:rPr>
          <w:color w:val="000000"/>
          <w:szCs w:val="22"/>
          <w:lang w:eastAsia="sk-SK"/>
        </w:rPr>
      </w:pPr>
      <w:r w:rsidRPr="006F414D">
        <w:t>Nepoužívat v případech přecitlivělosti na</w:t>
      </w:r>
      <w:r w:rsidRPr="006F414D">
        <w:rPr>
          <w:color w:val="000000"/>
          <w:szCs w:val="22"/>
          <w:lang w:eastAsia="sk-SK"/>
        </w:rPr>
        <w:t xml:space="preserve"> ceftiofur a další beta-laktamov</w:t>
      </w:r>
      <w:r w:rsidR="006A4500">
        <w:rPr>
          <w:color w:val="000000"/>
          <w:szCs w:val="22"/>
          <w:lang w:eastAsia="sk-SK"/>
        </w:rPr>
        <w:t>á</w:t>
      </w:r>
      <w:r w:rsidRPr="006F414D">
        <w:rPr>
          <w:color w:val="000000"/>
          <w:szCs w:val="22"/>
          <w:lang w:eastAsia="sk-SK"/>
        </w:rPr>
        <w:t xml:space="preserve"> antibiotika </w:t>
      </w:r>
      <w:r w:rsidRPr="006F414D">
        <w:t>nebo na některou z pomocných látek.</w:t>
      </w:r>
    </w:p>
    <w:p w14:paraId="5FC61F79" w14:textId="77777777" w:rsidR="006F414D" w:rsidRPr="006F414D" w:rsidRDefault="006F414D" w:rsidP="006F414D">
      <w:pPr>
        <w:tabs>
          <w:tab w:val="clear" w:pos="567"/>
        </w:tabs>
        <w:spacing w:line="240" w:lineRule="auto"/>
        <w:textAlignment w:val="top"/>
        <w:rPr>
          <w:color w:val="000000"/>
          <w:szCs w:val="22"/>
          <w:lang w:eastAsia="sk-SK"/>
        </w:rPr>
      </w:pPr>
      <w:r w:rsidRPr="006F414D">
        <w:rPr>
          <w:color w:val="000000"/>
          <w:szCs w:val="22"/>
          <w:lang w:eastAsia="sk-SK"/>
        </w:rPr>
        <w:t>Nepodávat intravenózně.</w:t>
      </w:r>
      <w:r w:rsidRPr="006F414D">
        <w:rPr>
          <w:color w:val="000000"/>
          <w:szCs w:val="22"/>
          <w:lang w:eastAsia="sk-SK"/>
        </w:rPr>
        <w:br/>
        <w:t>Nepoužívat v případě známé rezistence na jiné cefalosporiny nebo beta-laktamová antibiotika.</w:t>
      </w:r>
    </w:p>
    <w:p w14:paraId="4EB24012" w14:textId="77777777" w:rsidR="006F414D" w:rsidRPr="006F414D" w:rsidRDefault="006F414D" w:rsidP="006F414D">
      <w:pPr>
        <w:tabs>
          <w:tab w:val="clear" w:pos="567"/>
        </w:tabs>
        <w:spacing w:line="240" w:lineRule="auto"/>
        <w:textAlignment w:val="top"/>
        <w:rPr>
          <w:szCs w:val="22"/>
          <w:lang w:val="sk-SK"/>
        </w:rPr>
      </w:pPr>
      <w:r w:rsidRPr="006F414D">
        <w:rPr>
          <w:color w:val="000000"/>
          <w:szCs w:val="22"/>
          <w:lang w:eastAsia="sk-SK"/>
        </w:rPr>
        <w:t>Nepoužívat u drůbeže (včetně vajec) vzhledem k riziku rozšíření rezistence na antimikrobika na člověka.</w:t>
      </w:r>
    </w:p>
    <w:p w14:paraId="40DA2478" w14:textId="77777777" w:rsidR="007F512D" w:rsidRDefault="007F512D" w:rsidP="007F512D">
      <w:pPr>
        <w:tabs>
          <w:tab w:val="clear" w:pos="567"/>
        </w:tabs>
        <w:spacing w:line="240" w:lineRule="auto"/>
        <w:rPr>
          <w:szCs w:val="22"/>
        </w:rPr>
      </w:pPr>
    </w:p>
    <w:p w14:paraId="6AE31A38" w14:textId="77777777" w:rsidR="00726215" w:rsidRPr="00B41D57" w:rsidRDefault="00726215" w:rsidP="007F512D">
      <w:pPr>
        <w:tabs>
          <w:tab w:val="clear" w:pos="567"/>
        </w:tabs>
        <w:spacing w:line="240" w:lineRule="auto"/>
        <w:rPr>
          <w:szCs w:val="22"/>
        </w:rPr>
      </w:pPr>
    </w:p>
    <w:p w14:paraId="0BB5E1A5" w14:textId="77777777" w:rsidR="007F512D" w:rsidRPr="00B41D57" w:rsidRDefault="007F512D" w:rsidP="00C26C57">
      <w:pPr>
        <w:pStyle w:val="Style1"/>
        <w:keepNext/>
      </w:pPr>
      <w:bookmarkStart w:id="5" w:name="_Hlk127278343"/>
      <w:r w:rsidRPr="00B41D57">
        <w:rPr>
          <w:highlight w:val="lightGray"/>
        </w:rPr>
        <w:lastRenderedPageBreak/>
        <w:t>6.</w:t>
      </w:r>
      <w:r w:rsidRPr="00B41D57">
        <w:tab/>
        <w:t>Zvláštní upozornění</w:t>
      </w:r>
    </w:p>
    <w:bookmarkEnd w:id="5"/>
    <w:p w14:paraId="5B9E2672" w14:textId="77777777" w:rsidR="007F512D" w:rsidRDefault="007F512D" w:rsidP="00C26C57">
      <w:pPr>
        <w:keepNext/>
        <w:tabs>
          <w:tab w:val="clear" w:pos="567"/>
        </w:tabs>
        <w:spacing w:line="240" w:lineRule="auto"/>
        <w:rPr>
          <w:szCs w:val="22"/>
        </w:rPr>
      </w:pPr>
    </w:p>
    <w:p w14:paraId="091F2BCB" w14:textId="3430DBFD" w:rsidR="00082939" w:rsidRDefault="00082939" w:rsidP="00C26C57">
      <w:pPr>
        <w:keepNext/>
        <w:tabs>
          <w:tab w:val="clear" w:pos="567"/>
        </w:tabs>
        <w:spacing w:line="240" w:lineRule="auto"/>
      </w:pPr>
      <w:bookmarkStart w:id="6" w:name="_Hlk127278415"/>
      <w:r w:rsidRPr="00B41D57">
        <w:rPr>
          <w:szCs w:val="22"/>
          <w:u w:val="single"/>
        </w:rPr>
        <w:t>Zvláštní opatření pro bezpečné použití u cílových druhů zvířat</w:t>
      </w:r>
      <w:r w:rsidRPr="00B41D57">
        <w:t>:</w:t>
      </w:r>
      <w:bookmarkEnd w:id="6"/>
    </w:p>
    <w:p w14:paraId="51744B8E" w14:textId="77777777" w:rsidR="005255AC" w:rsidRPr="00B41D57" w:rsidRDefault="005255AC" w:rsidP="00C26C57">
      <w:pPr>
        <w:keepNext/>
        <w:tabs>
          <w:tab w:val="clear" w:pos="567"/>
        </w:tabs>
        <w:spacing w:line="240" w:lineRule="auto"/>
        <w:rPr>
          <w:szCs w:val="22"/>
        </w:rPr>
      </w:pPr>
    </w:p>
    <w:p w14:paraId="677B1F12" w14:textId="244260F1" w:rsidR="00082939" w:rsidRPr="00082939" w:rsidRDefault="00082939" w:rsidP="0008293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082939">
        <w:rPr>
          <w:b/>
          <w:szCs w:val="22"/>
        </w:rPr>
        <w:t xml:space="preserve">Použití </w:t>
      </w:r>
      <w:r>
        <w:rPr>
          <w:b/>
          <w:szCs w:val="22"/>
        </w:rPr>
        <w:t xml:space="preserve">veterinárního léčivého </w:t>
      </w:r>
      <w:r w:rsidRPr="00082939">
        <w:rPr>
          <w:b/>
          <w:szCs w:val="22"/>
        </w:rPr>
        <w:t>přípravku může představovat riziko pro veřejné zdraví vzhledem k šíření rezistence na antimikrobika.</w:t>
      </w:r>
    </w:p>
    <w:p w14:paraId="7963E926" w14:textId="72C07C5D" w:rsidR="00082939" w:rsidRPr="00082939" w:rsidRDefault="00B260DE" w:rsidP="00082939">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Pr>
          <w:szCs w:val="22"/>
        </w:rPr>
        <w:t>Veterinární léčivý p</w:t>
      </w:r>
      <w:r w:rsidR="00082939" w:rsidRPr="00082939">
        <w:rPr>
          <w:szCs w:val="22"/>
        </w:rPr>
        <w:t xml:space="preserve">řípravek by měl být vyhrazen pro léčbu klinických stavů, které měly slabou odezvu nebo u nichž se očekává slabá odezva na léčbu první volby. Při použití tohoto </w:t>
      </w:r>
      <w:r w:rsidR="0015097C">
        <w:rPr>
          <w:szCs w:val="22"/>
        </w:rPr>
        <w:t xml:space="preserve">veterinárního léčivého </w:t>
      </w:r>
      <w:r w:rsidR="00082939" w:rsidRPr="00082939">
        <w:rPr>
          <w:szCs w:val="22"/>
        </w:rPr>
        <w:t>přípravku je nutno zohlednit oficiální, celostátní a místní pravidla antibiotické politiky.</w:t>
      </w:r>
    </w:p>
    <w:p w14:paraId="08F4616D" w14:textId="5CE84D88" w:rsidR="00082939" w:rsidRPr="00082939" w:rsidRDefault="00082939" w:rsidP="00082939">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082939">
        <w:rPr>
          <w:szCs w:val="22"/>
        </w:rPr>
        <w:t xml:space="preserve">Zvýšené používání </w:t>
      </w:r>
      <w:r w:rsidR="0015097C">
        <w:rPr>
          <w:szCs w:val="22"/>
        </w:rPr>
        <w:t xml:space="preserve">veterinárního léčivého </w:t>
      </w:r>
      <w:r w:rsidRPr="00082939">
        <w:rPr>
          <w:szCs w:val="22"/>
        </w:rPr>
        <w:t>přípravku, včetně použití přípravku, které neodpovídá daným pokynům, může zvýšit prevalenci rezistence.</w:t>
      </w:r>
    </w:p>
    <w:p w14:paraId="224A4793" w14:textId="5D6FF41E" w:rsidR="00082939" w:rsidRPr="00082939" w:rsidRDefault="00B260DE" w:rsidP="00082939">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Pr>
          <w:szCs w:val="22"/>
        </w:rPr>
        <w:t>Veterinární léčivý p</w:t>
      </w:r>
      <w:r w:rsidR="00082939" w:rsidRPr="00082939">
        <w:rPr>
          <w:szCs w:val="22"/>
        </w:rPr>
        <w:t>řípravek by se měl, vždy když je to možné, používat pouze na základě výsledků testů citlivosti.</w:t>
      </w:r>
    </w:p>
    <w:p w14:paraId="3B196692" w14:textId="77777777" w:rsidR="007F512D" w:rsidRDefault="007F512D" w:rsidP="007F512D">
      <w:pPr>
        <w:tabs>
          <w:tab w:val="clear" w:pos="567"/>
        </w:tabs>
        <w:spacing w:line="240" w:lineRule="auto"/>
        <w:rPr>
          <w:szCs w:val="22"/>
        </w:rPr>
      </w:pPr>
    </w:p>
    <w:p w14:paraId="22BFC6A8" w14:textId="2AF51850" w:rsidR="00082939" w:rsidRPr="00082939" w:rsidRDefault="0015097C" w:rsidP="00082939">
      <w:pPr>
        <w:tabs>
          <w:tab w:val="clear" w:pos="567"/>
        </w:tabs>
        <w:spacing w:line="240" w:lineRule="auto"/>
        <w:jc w:val="both"/>
        <w:rPr>
          <w:szCs w:val="22"/>
        </w:rPr>
      </w:pPr>
      <w:r>
        <w:rPr>
          <w:szCs w:val="22"/>
        </w:rPr>
        <w:t>Veterinární léčivý p</w:t>
      </w:r>
      <w:r w:rsidR="00082939" w:rsidRPr="00082939">
        <w:rPr>
          <w:szCs w:val="22"/>
        </w:rPr>
        <w:t>řípravek je určen pro léčbu jednotlivých zvířat. Nepoužívat pro účely prevence onemocnění nebo jako součást programů kontroly zdraví na úrovni stáda. Léčba skupin zvířat musí být přísně omezena na případy probíhajících onemocnění v souladu se schválenými podmínkami použití.</w:t>
      </w:r>
    </w:p>
    <w:p w14:paraId="25DBA4D5" w14:textId="77777777" w:rsidR="00082939" w:rsidRDefault="00082939" w:rsidP="007F512D">
      <w:pPr>
        <w:tabs>
          <w:tab w:val="clear" w:pos="567"/>
        </w:tabs>
        <w:spacing w:line="240" w:lineRule="auto"/>
        <w:rPr>
          <w:szCs w:val="22"/>
        </w:rPr>
      </w:pPr>
    </w:p>
    <w:p w14:paraId="44FE8815" w14:textId="77777777" w:rsidR="00082939" w:rsidRPr="00082939" w:rsidRDefault="00082939" w:rsidP="00082939">
      <w:pPr>
        <w:tabs>
          <w:tab w:val="clear" w:pos="567"/>
        </w:tabs>
        <w:spacing w:line="240" w:lineRule="auto"/>
        <w:ind w:left="567" w:hanging="567"/>
        <w:rPr>
          <w:szCs w:val="22"/>
        </w:rPr>
      </w:pPr>
      <w:r w:rsidRPr="00082939">
        <w:rPr>
          <w:szCs w:val="22"/>
        </w:rPr>
        <w:t>Nepoužívejte jako profylaxi v případě zadržené placenty.</w:t>
      </w:r>
    </w:p>
    <w:p w14:paraId="5AA34798" w14:textId="77777777" w:rsidR="00082939" w:rsidRPr="00B41D57" w:rsidRDefault="00082939" w:rsidP="007F512D">
      <w:pPr>
        <w:tabs>
          <w:tab w:val="clear" w:pos="567"/>
        </w:tabs>
        <w:spacing w:line="240" w:lineRule="auto"/>
        <w:rPr>
          <w:szCs w:val="22"/>
        </w:rPr>
      </w:pPr>
    </w:p>
    <w:p w14:paraId="6CD49A5A" w14:textId="484B24A5" w:rsidR="007F512D" w:rsidRPr="00B41D57" w:rsidRDefault="007F512D" w:rsidP="009E5E4E">
      <w:pPr>
        <w:keepNext/>
        <w:tabs>
          <w:tab w:val="clear" w:pos="567"/>
        </w:tabs>
        <w:spacing w:line="240" w:lineRule="auto"/>
        <w:rPr>
          <w:szCs w:val="22"/>
        </w:rPr>
      </w:pPr>
      <w:bookmarkStart w:id="7" w:name="_Hlk127278444"/>
      <w:r w:rsidRPr="00B41D57">
        <w:rPr>
          <w:szCs w:val="22"/>
          <w:u w:val="single"/>
        </w:rPr>
        <w:t>Zvláštní opatření pro osobu, která podává veterinární léčivý přípravek zvířatům</w:t>
      </w:r>
      <w:r w:rsidRPr="00B41D57">
        <w:t>:</w:t>
      </w:r>
      <w:bookmarkEnd w:id="7"/>
    </w:p>
    <w:p w14:paraId="23E5076B" w14:textId="7BE41DE8" w:rsidR="0015097C" w:rsidRPr="00766F19" w:rsidRDefault="0015097C" w:rsidP="0015097C">
      <w:pPr>
        <w:jc w:val="both"/>
        <w:rPr>
          <w:color w:val="000000"/>
          <w:szCs w:val="22"/>
          <w:lang w:eastAsia="sk-SK"/>
        </w:rPr>
      </w:pPr>
      <w:r w:rsidRPr="00254950">
        <w:rPr>
          <w:szCs w:val="22"/>
        </w:rPr>
        <w:t>Peniciliny a cefalosporiny mohou po injekci, inhalaci, požití nebo po kožním</w:t>
      </w:r>
      <w:r w:rsidRPr="00D74E72">
        <w:rPr>
          <w:szCs w:val="22"/>
        </w:rPr>
        <w:t xml:space="preserve"> kontaktu vyvolat hypersensitivitu (alergii). Hypersensitivita na peniciliny může vést ke zkříženým reakcím</w:t>
      </w:r>
      <w:r w:rsidR="00874FAB">
        <w:rPr>
          <w:szCs w:val="22"/>
        </w:rPr>
        <w:t xml:space="preserve"> </w:t>
      </w:r>
      <w:r w:rsidRPr="006C0A73">
        <w:rPr>
          <w:szCs w:val="22"/>
        </w:rPr>
        <w:t>s</w:t>
      </w:r>
      <w:r w:rsidR="00874FAB">
        <w:rPr>
          <w:szCs w:val="22"/>
        </w:rPr>
        <w:t> </w:t>
      </w:r>
      <w:r w:rsidRPr="006C0A73">
        <w:rPr>
          <w:szCs w:val="22"/>
        </w:rPr>
        <w:t xml:space="preserve">cefalosporiny a naopak. </w:t>
      </w:r>
      <w:r w:rsidRPr="00766F19">
        <w:rPr>
          <w:szCs w:val="22"/>
        </w:rPr>
        <w:t>Alergické reakce na tyto látky mohou být v některých případech vážné.</w:t>
      </w:r>
    </w:p>
    <w:p w14:paraId="245A4B2C" w14:textId="77777777" w:rsidR="0015097C" w:rsidRDefault="0015097C" w:rsidP="0015097C">
      <w:pPr>
        <w:jc w:val="both"/>
        <w:rPr>
          <w:color w:val="000000"/>
          <w:szCs w:val="22"/>
          <w:lang w:eastAsia="sk-SK"/>
        </w:rPr>
      </w:pPr>
    </w:p>
    <w:p w14:paraId="37028C69" w14:textId="77777777" w:rsidR="0015097C" w:rsidRPr="00766F19" w:rsidRDefault="0015097C" w:rsidP="0015097C">
      <w:pPr>
        <w:jc w:val="both"/>
        <w:rPr>
          <w:color w:val="000000"/>
          <w:szCs w:val="22"/>
          <w:lang w:eastAsia="sk-SK"/>
        </w:rPr>
      </w:pPr>
      <w:r w:rsidRPr="00B41D57">
        <w:t>Lidé se známou přecitlivělostí na</w:t>
      </w:r>
      <w:r>
        <w:t xml:space="preserve"> ceftiofur </w:t>
      </w:r>
      <w:r w:rsidRPr="00B41D57">
        <w:t>by se měli vyhnout kontaktu s veterinárním léčivým přípravkem.</w:t>
      </w:r>
    </w:p>
    <w:p w14:paraId="363D22AE" w14:textId="32900B8F" w:rsidR="0015097C" w:rsidRDefault="0015097C" w:rsidP="0015097C">
      <w:pPr>
        <w:jc w:val="both"/>
        <w:rPr>
          <w:color w:val="000000"/>
          <w:szCs w:val="22"/>
          <w:lang w:eastAsia="sk-SK"/>
        </w:rPr>
      </w:pPr>
      <w:r w:rsidRPr="00766F19">
        <w:rPr>
          <w:szCs w:val="22"/>
        </w:rPr>
        <w:t xml:space="preserve">Při </w:t>
      </w:r>
      <w:r w:rsidR="00874FAB">
        <w:rPr>
          <w:szCs w:val="22"/>
        </w:rPr>
        <w:t>nakládání</w:t>
      </w:r>
      <w:r w:rsidRPr="00766F19">
        <w:rPr>
          <w:szCs w:val="22"/>
        </w:rPr>
        <w:t xml:space="preserve"> s</w:t>
      </w:r>
      <w:r w:rsidR="00874FAB">
        <w:rPr>
          <w:szCs w:val="22"/>
        </w:rPr>
        <w:t xml:space="preserve"> veterinárním léčivým </w:t>
      </w:r>
      <w:r w:rsidRPr="00766F19">
        <w:rPr>
          <w:szCs w:val="22"/>
        </w:rPr>
        <w:t>přípravkem buďte maximálně obezřetní, aby nedošlo k přímému kontaktu.</w:t>
      </w:r>
      <w:r>
        <w:rPr>
          <w:szCs w:val="22"/>
        </w:rPr>
        <w:t xml:space="preserve"> </w:t>
      </w:r>
      <w:r w:rsidRPr="00D74E72">
        <w:rPr>
          <w:color w:val="000000"/>
          <w:szCs w:val="22"/>
          <w:lang w:eastAsia="sk-SK"/>
        </w:rPr>
        <w:t>Po použití si umyjte ruce.</w:t>
      </w:r>
    </w:p>
    <w:p w14:paraId="62684540" w14:textId="4D85E35F" w:rsidR="0015097C" w:rsidRDefault="0015097C" w:rsidP="0015097C">
      <w:pPr>
        <w:rPr>
          <w:bCs/>
          <w:szCs w:val="22"/>
        </w:rPr>
      </w:pPr>
      <w:r w:rsidRPr="00D74E72">
        <w:rPr>
          <w:bCs/>
          <w:szCs w:val="22"/>
        </w:rPr>
        <w:t xml:space="preserve">Pokud se po přímém kontaktu s přípravkem objeví příznaky jako např. kožní vyrážka, </w:t>
      </w:r>
      <w:r w:rsidRPr="00812CD8">
        <w:t>vyhledejte ihned lékařskou pomoc a ukažte příbalovou informaci nebo etiketu praktickému lékaři.</w:t>
      </w:r>
    </w:p>
    <w:p w14:paraId="5535927F" w14:textId="1052802F" w:rsidR="0015097C" w:rsidRPr="00B41D57" w:rsidRDefault="0015097C" w:rsidP="0015097C">
      <w:pPr>
        <w:rPr>
          <w:szCs w:val="22"/>
        </w:rPr>
      </w:pPr>
      <w:r w:rsidRPr="006C0A73">
        <w:rPr>
          <w:bCs/>
          <w:szCs w:val="22"/>
        </w:rPr>
        <w:t xml:space="preserve">Otok obličeje, rtů, očí nebo potíže s dýcháním jsou vážné </w:t>
      </w:r>
      <w:r w:rsidRPr="00766F19">
        <w:rPr>
          <w:bCs/>
          <w:szCs w:val="22"/>
        </w:rPr>
        <w:t>příznaky a vyžadují okamžité lékařské ošetření.</w:t>
      </w:r>
    </w:p>
    <w:p w14:paraId="33324E01" w14:textId="77777777" w:rsidR="007F512D" w:rsidRPr="00B41D57" w:rsidRDefault="007F512D" w:rsidP="007F512D">
      <w:pPr>
        <w:rPr>
          <w:szCs w:val="22"/>
          <w:u w:val="single"/>
        </w:rPr>
      </w:pPr>
    </w:p>
    <w:p w14:paraId="75C36DD8" w14:textId="77777777" w:rsidR="007E186D" w:rsidRPr="007E186D" w:rsidRDefault="007E186D" w:rsidP="007E186D">
      <w:pPr>
        <w:tabs>
          <w:tab w:val="clear" w:pos="567"/>
        </w:tabs>
        <w:spacing w:line="240" w:lineRule="auto"/>
        <w:ind w:left="567" w:hanging="567"/>
        <w:rPr>
          <w:szCs w:val="22"/>
        </w:rPr>
      </w:pPr>
      <w:r w:rsidRPr="007E186D">
        <w:rPr>
          <w:u w:val="single"/>
        </w:rPr>
        <w:t xml:space="preserve">Březost </w:t>
      </w:r>
      <w:r w:rsidRPr="007E186D">
        <w:rPr>
          <w:szCs w:val="22"/>
          <w:u w:val="single"/>
        </w:rPr>
        <w:t>a laktace</w:t>
      </w:r>
      <w:r w:rsidRPr="007E186D">
        <w:t>:</w:t>
      </w:r>
    </w:p>
    <w:p w14:paraId="6559E1DD"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Studie na laboratorních zvířatech nepodaly důkaz o teratogenním, fetotoxickém účinku a maternální toxicitě. Bezpečnost veterinárního léčivého přípravku nebyla stanovena u prasnic ani krav během březosti a laktace.</w:t>
      </w:r>
    </w:p>
    <w:p w14:paraId="39F881C6" w14:textId="443AD8CA" w:rsidR="007F512D" w:rsidRPr="00B41D57" w:rsidRDefault="007E186D" w:rsidP="007E186D">
      <w:pPr>
        <w:tabs>
          <w:tab w:val="clear" w:pos="567"/>
        </w:tabs>
        <w:spacing w:line="240" w:lineRule="auto"/>
        <w:rPr>
          <w:szCs w:val="22"/>
        </w:rPr>
      </w:pPr>
      <w:r w:rsidRPr="007E186D">
        <w:rPr>
          <w:color w:val="000000"/>
          <w:szCs w:val="22"/>
          <w:lang w:eastAsia="sk-SK"/>
        </w:rPr>
        <w:t>Použít pouze po zvážení poměru terapeutického prospěchu a rizika příslušným veterinárním lékařem.</w:t>
      </w:r>
    </w:p>
    <w:p w14:paraId="60CF47B2" w14:textId="77777777" w:rsidR="007F512D" w:rsidRPr="00B41D57" w:rsidRDefault="007F512D" w:rsidP="007F512D">
      <w:pPr>
        <w:tabs>
          <w:tab w:val="clear" w:pos="567"/>
        </w:tabs>
        <w:spacing w:line="240" w:lineRule="auto"/>
        <w:rPr>
          <w:szCs w:val="22"/>
        </w:rPr>
      </w:pPr>
    </w:p>
    <w:p w14:paraId="0AFE73AD" w14:textId="1C803E0E" w:rsidR="007F512D" w:rsidRPr="00B41D57" w:rsidRDefault="007F512D" w:rsidP="007F512D">
      <w:pPr>
        <w:tabs>
          <w:tab w:val="clear" w:pos="567"/>
        </w:tabs>
        <w:spacing w:line="240" w:lineRule="auto"/>
        <w:rPr>
          <w:szCs w:val="22"/>
        </w:rPr>
      </w:pPr>
      <w:bookmarkStart w:id="8" w:name="_Hlk161520993"/>
      <w:r w:rsidRPr="00B41D57">
        <w:rPr>
          <w:szCs w:val="22"/>
          <w:u w:val="single"/>
        </w:rPr>
        <w:t>Interakce s </w:t>
      </w:r>
      <w:bookmarkStart w:id="9" w:name="_Hlk127278477"/>
      <w:r w:rsidRPr="00B41D57">
        <w:rPr>
          <w:szCs w:val="22"/>
          <w:u w:val="single"/>
        </w:rPr>
        <w:t>jinými</w:t>
      </w:r>
      <w:bookmarkEnd w:id="9"/>
      <w:r w:rsidRPr="00B41D57">
        <w:rPr>
          <w:szCs w:val="22"/>
          <w:u w:val="single"/>
        </w:rPr>
        <w:t xml:space="preserve"> léčivými přípravky a další formy interakce</w:t>
      </w:r>
      <w:r w:rsidRPr="00B41D57">
        <w:t>:</w:t>
      </w:r>
      <w:bookmarkEnd w:id="8"/>
    </w:p>
    <w:p w14:paraId="20E5EF72" w14:textId="77777777" w:rsidR="007E186D" w:rsidRPr="007E186D" w:rsidRDefault="007E186D" w:rsidP="007E186D">
      <w:pPr>
        <w:tabs>
          <w:tab w:val="clear" w:pos="567"/>
        </w:tabs>
        <w:spacing w:line="240" w:lineRule="auto"/>
        <w:textAlignment w:val="top"/>
        <w:rPr>
          <w:color w:val="888888"/>
          <w:szCs w:val="22"/>
          <w:lang w:eastAsia="sk-SK"/>
        </w:rPr>
      </w:pPr>
      <w:r w:rsidRPr="007E186D">
        <w:rPr>
          <w:color w:val="000000"/>
          <w:szCs w:val="22"/>
          <w:lang w:eastAsia="sk-SK"/>
        </w:rPr>
        <w:t>Baktericidní vlastnosti cefalosporinů jsou antagonizovány při současném užívání bakteriostatických antibiotik (makrolidy, sulfonamidy a tetracykliny).</w:t>
      </w:r>
    </w:p>
    <w:p w14:paraId="5EA85890" w14:textId="77777777" w:rsidR="007F512D" w:rsidRPr="00B41D57" w:rsidRDefault="007F512D" w:rsidP="007F512D">
      <w:pPr>
        <w:tabs>
          <w:tab w:val="clear" w:pos="567"/>
        </w:tabs>
        <w:spacing w:line="240" w:lineRule="auto"/>
        <w:rPr>
          <w:szCs w:val="22"/>
        </w:rPr>
      </w:pPr>
    </w:p>
    <w:p w14:paraId="7B5A664C" w14:textId="7A99C324" w:rsidR="007F512D" w:rsidRPr="00B41D57" w:rsidRDefault="007F512D" w:rsidP="007F512D">
      <w:pPr>
        <w:tabs>
          <w:tab w:val="clear" w:pos="567"/>
        </w:tabs>
        <w:spacing w:line="240" w:lineRule="auto"/>
        <w:rPr>
          <w:szCs w:val="22"/>
        </w:rPr>
      </w:pPr>
      <w:bookmarkStart w:id="10" w:name="_Hlk161521003"/>
      <w:r w:rsidRPr="00B41D57">
        <w:rPr>
          <w:szCs w:val="22"/>
          <w:u w:val="single"/>
        </w:rPr>
        <w:t>Předávkování</w:t>
      </w:r>
      <w:r w:rsidRPr="00B41D57">
        <w:t>:</w:t>
      </w:r>
      <w:bookmarkEnd w:id="10"/>
    </w:p>
    <w:p w14:paraId="47CC10BF" w14:textId="77777777" w:rsidR="007E186D" w:rsidRPr="007E186D" w:rsidRDefault="007E186D" w:rsidP="007E186D">
      <w:pPr>
        <w:tabs>
          <w:tab w:val="clear" w:pos="567"/>
        </w:tabs>
        <w:spacing w:before="96" w:after="96" w:line="240" w:lineRule="auto"/>
        <w:rPr>
          <w:szCs w:val="22"/>
          <w:lang w:eastAsia="cs-CZ"/>
        </w:rPr>
      </w:pPr>
      <w:r w:rsidRPr="007E186D">
        <w:rPr>
          <w:szCs w:val="22"/>
          <w:lang w:eastAsia="cs-CZ"/>
        </w:rPr>
        <w:t>U prasat, která po dobu 15 po sobě jdoucích dnů dostávala intramuskulárně ceftiofur sodný v dávkách osminásobně překračujících doporučenou denní dávku, byla prokázána nízká toxicita ceftiofuru.</w:t>
      </w:r>
    </w:p>
    <w:p w14:paraId="56137795" w14:textId="480C4F69" w:rsidR="007F512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U skotu nebyly pozorovány žádné příznaky systémové toxicity po významném překročení terapeutické dávky při parenterálním podávání.</w:t>
      </w:r>
    </w:p>
    <w:p w14:paraId="6B7D52C4" w14:textId="77777777" w:rsidR="007F512D" w:rsidRPr="00B41D57" w:rsidRDefault="007F512D" w:rsidP="007F512D">
      <w:pPr>
        <w:tabs>
          <w:tab w:val="clear" w:pos="567"/>
        </w:tabs>
        <w:spacing w:line="240" w:lineRule="auto"/>
        <w:rPr>
          <w:szCs w:val="22"/>
        </w:rPr>
      </w:pPr>
    </w:p>
    <w:p w14:paraId="41DD1447" w14:textId="750CC8BB" w:rsidR="007F512D" w:rsidRPr="00B41D57" w:rsidRDefault="007F512D" w:rsidP="007F512D">
      <w:pPr>
        <w:tabs>
          <w:tab w:val="clear" w:pos="567"/>
        </w:tabs>
        <w:spacing w:line="240" w:lineRule="auto"/>
        <w:rPr>
          <w:szCs w:val="22"/>
        </w:rPr>
      </w:pPr>
      <w:bookmarkStart w:id="11" w:name="_Hlk127278498"/>
      <w:bookmarkStart w:id="12" w:name="_Hlk161521011"/>
      <w:r w:rsidRPr="00B41D57">
        <w:rPr>
          <w:szCs w:val="22"/>
          <w:u w:val="single"/>
        </w:rPr>
        <w:t>Hlavní</w:t>
      </w:r>
      <w:bookmarkEnd w:id="11"/>
      <w:r w:rsidRPr="00B41D57">
        <w:rPr>
          <w:szCs w:val="22"/>
          <w:u w:val="single"/>
        </w:rPr>
        <w:t xml:space="preserve"> inkompatibility</w:t>
      </w:r>
      <w:r w:rsidRPr="00B41D57">
        <w:t>:</w:t>
      </w:r>
      <w:bookmarkEnd w:id="12"/>
    </w:p>
    <w:p w14:paraId="203DF255" w14:textId="77777777" w:rsidR="007E186D" w:rsidRPr="007E186D" w:rsidRDefault="007E186D" w:rsidP="007E186D">
      <w:pPr>
        <w:tabs>
          <w:tab w:val="clear" w:pos="567"/>
        </w:tabs>
        <w:spacing w:line="240" w:lineRule="auto"/>
        <w:textAlignment w:val="top"/>
        <w:rPr>
          <w:color w:val="888888"/>
          <w:szCs w:val="22"/>
          <w:lang w:eastAsia="sk-SK"/>
        </w:rPr>
      </w:pPr>
      <w:r w:rsidRPr="007E186D">
        <w:rPr>
          <w:color w:val="000000"/>
          <w:szCs w:val="22"/>
          <w:lang w:eastAsia="sk-SK"/>
        </w:rPr>
        <w:t>Studie kompatibility nejsou k dispozici, a proto tento veterinární léčivý přípravek nesmí být mísen s žádnými dalšími veterinárními léčivými přípravky.</w:t>
      </w:r>
    </w:p>
    <w:p w14:paraId="595FB0FF" w14:textId="77777777" w:rsidR="007F512D" w:rsidRPr="00B41D57" w:rsidRDefault="007F512D" w:rsidP="007F512D">
      <w:pPr>
        <w:tabs>
          <w:tab w:val="clear" w:pos="567"/>
        </w:tabs>
        <w:spacing w:line="240" w:lineRule="auto"/>
        <w:rPr>
          <w:szCs w:val="22"/>
        </w:rPr>
      </w:pPr>
    </w:p>
    <w:p w14:paraId="4716123C" w14:textId="77777777" w:rsidR="007F512D" w:rsidRPr="00B41D57" w:rsidRDefault="007F512D" w:rsidP="007F512D">
      <w:pPr>
        <w:tabs>
          <w:tab w:val="clear" w:pos="567"/>
        </w:tabs>
        <w:spacing w:line="240" w:lineRule="auto"/>
        <w:rPr>
          <w:szCs w:val="22"/>
        </w:rPr>
      </w:pPr>
    </w:p>
    <w:p w14:paraId="34C65B58" w14:textId="77777777" w:rsidR="007F512D" w:rsidRPr="00B41D57" w:rsidRDefault="007F512D" w:rsidP="007F512D">
      <w:pPr>
        <w:pStyle w:val="Style1"/>
      </w:pPr>
      <w:bookmarkStart w:id="13" w:name="_Hlk161521020"/>
      <w:r w:rsidRPr="00B41D57">
        <w:rPr>
          <w:highlight w:val="lightGray"/>
        </w:rPr>
        <w:t>7.</w:t>
      </w:r>
      <w:r w:rsidRPr="00B41D57">
        <w:tab/>
        <w:t>Nežádoucí účinky</w:t>
      </w:r>
    </w:p>
    <w:bookmarkEnd w:id="13"/>
    <w:p w14:paraId="38AB06C0" w14:textId="77777777" w:rsidR="007F512D" w:rsidRPr="00B41D57" w:rsidRDefault="007F512D" w:rsidP="007F512D">
      <w:pPr>
        <w:tabs>
          <w:tab w:val="clear" w:pos="567"/>
        </w:tabs>
        <w:spacing w:line="240" w:lineRule="auto"/>
        <w:rPr>
          <w:iCs/>
          <w:szCs w:val="22"/>
        </w:rPr>
      </w:pPr>
    </w:p>
    <w:p w14:paraId="2B315D7C" w14:textId="77777777" w:rsidR="006F414D" w:rsidRPr="00B41D57" w:rsidRDefault="006F414D" w:rsidP="006F414D">
      <w:pPr>
        <w:rPr>
          <w:szCs w:val="22"/>
        </w:rPr>
      </w:pPr>
      <w:r>
        <w:t>Skot: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5"/>
      </w:tblGrid>
      <w:tr w:rsidR="006F414D" w14:paraId="15D86A27" w14:textId="77777777" w:rsidTr="00DC13C2">
        <w:tc>
          <w:tcPr>
            <w:tcW w:w="1957" w:type="pct"/>
          </w:tcPr>
          <w:p w14:paraId="1FDC1FE9" w14:textId="77777777" w:rsidR="006F414D" w:rsidRPr="00B41D57" w:rsidRDefault="006F414D" w:rsidP="00DC13C2">
            <w:pPr>
              <w:spacing w:before="60" w:after="60"/>
              <w:rPr>
                <w:szCs w:val="22"/>
              </w:rPr>
            </w:pPr>
            <w:r w:rsidRPr="00B41D57">
              <w:t>Vzácné</w:t>
            </w:r>
          </w:p>
          <w:p w14:paraId="5AC0FA85" w14:textId="77777777" w:rsidR="006F414D" w:rsidRPr="00B41D57" w:rsidRDefault="006F414D" w:rsidP="00DC13C2">
            <w:pPr>
              <w:spacing w:before="60" w:after="60"/>
              <w:rPr>
                <w:szCs w:val="22"/>
              </w:rPr>
            </w:pPr>
            <w:r w:rsidRPr="00B41D57">
              <w:t>(1 až 10 zvířat / 10 000 ošetřených zvířat):</w:t>
            </w:r>
          </w:p>
        </w:tc>
        <w:tc>
          <w:tcPr>
            <w:tcW w:w="3043" w:type="pct"/>
          </w:tcPr>
          <w:p w14:paraId="3857A818" w14:textId="77777777" w:rsidR="006F414D" w:rsidRPr="00B41D57" w:rsidRDefault="006F414D" w:rsidP="00DC13C2">
            <w:pPr>
              <w:spacing w:before="60" w:after="60"/>
              <w:rPr>
                <w:iCs/>
                <w:szCs w:val="22"/>
              </w:rPr>
            </w:pPr>
            <w:r>
              <w:rPr>
                <w:color w:val="000000"/>
                <w:szCs w:val="22"/>
                <w:lang w:eastAsia="sk-SK"/>
              </w:rPr>
              <w:t>R</w:t>
            </w:r>
            <w:r w:rsidRPr="00027E6A">
              <w:rPr>
                <w:color w:val="000000"/>
                <w:szCs w:val="22"/>
                <w:lang w:eastAsia="sk-SK"/>
              </w:rPr>
              <w:t>eakce v místě injekčního podání</w:t>
            </w:r>
            <w:r w:rsidRPr="00515B77">
              <w:rPr>
                <w:color w:val="000000"/>
                <w:szCs w:val="22"/>
                <w:vertAlign w:val="superscript"/>
                <w:lang w:eastAsia="sk-SK"/>
              </w:rPr>
              <w:t>2</w:t>
            </w:r>
            <w:r>
              <w:rPr>
                <w:color w:val="000000"/>
                <w:szCs w:val="22"/>
                <w:lang w:eastAsia="sk-SK"/>
              </w:rPr>
              <w:t xml:space="preserve"> (např. </w:t>
            </w:r>
            <w:r w:rsidRPr="005822F7">
              <w:rPr>
                <w:color w:val="000000"/>
                <w:szCs w:val="22"/>
                <w:lang w:eastAsia="sk-SK"/>
              </w:rPr>
              <w:t xml:space="preserve">zánět, edém, </w:t>
            </w:r>
            <w:r>
              <w:rPr>
                <w:color w:val="000000"/>
                <w:szCs w:val="22"/>
                <w:lang w:eastAsia="sk-SK"/>
              </w:rPr>
              <w:t xml:space="preserve">zesílení </w:t>
            </w:r>
            <w:r w:rsidRPr="00027E6A">
              <w:rPr>
                <w:color w:val="000000"/>
                <w:szCs w:val="22"/>
                <w:lang w:eastAsia="sk-SK"/>
              </w:rPr>
              <w:t>tkáně</w:t>
            </w:r>
            <w:r w:rsidRPr="00515B77">
              <w:rPr>
                <w:color w:val="000000"/>
                <w:szCs w:val="22"/>
                <w:vertAlign w:val="superscript"/>
                <w:lang w:eastAsia="sk-SK"/>
              </w:rPr>
              <w:t>3</w:t>
            </w:r>
            <w:r w:rsidRPr="005822F7">
              <w:rPr>
                <w:color w:val="000000"/>
                <w:szCs w:val="22"/>
                <w:lang w:eastAsia="sk-SK"/>
              </w:rPr>
              <w:t>, změna barvy</w:t>
            </w:r>
            <w:r w:rsidRPr="00515B77">
              <w:rPr>
                <w:color w:val="000000"/>
                <w:szCs w:val="22"/>
                <w:vertAlign w:val="superscript"/>
                <w:lang w:eastAsia="sk-SK"/>
              </w:rPr>
              <w:t>4</w:t>
            </w:r>
            <w:r>
              <w:rPr>
                <w:color w:val="000000"/>
                <w:szCs w:val="22"/>
                <w:lang w:eastAsia="sk-SK"/>
              </w:rPr>
              <w:t>)</w:t>
            </w:r>
          </w:p>
        </w:tc>
      </w:tr>
      <w:tr w:rsidR="006F414D" w14:paraId="6527A8A2" w14:textId="77777777" w:rsidTr="00DC13C2">
        <w:tc>
          <w:tcPr>
            <w:tcW w:w="1957" w:type="pct"/>
          </w:tcPr>
          <w:p w14:paraId="2A6D0DF2" w14:textId="77777777" w:rsidR="006F414D" w:rsidRPr="00B41D57" w:rsidRDefault="006F414D" w:rsidP="00DC13C2">
            <w:pPr>
              <w:spacing w:before="60" w:after="60"/>
              <w:rPr>
                <w:szCs w:val="22"/>
              </w:rPr>
            </w:pPr>
            <w:r w:rsidRPr="00B41D57">
              <w:t>Velmi vzácné</w:t>
            </w:r>
          </w:p>
          <w:p w14:paraId="34BCC419" w14:textId="77777777" w:rsidR="006F414D" w:rsidRPr="00B41D57" w:rsidRDefault="006F414D" w:rsidP="00DC13C2">
            <w:pPr>
              <w:spacing w:before="60" w:after="60"/>
              <w:rPr>
                <w:szCs w:val="22"/>
              </w:rPr>
            </w:pPr>
            <w:r w:rsidRPr="001B7B38">
              <w:t>(&lt;1 zvíře</w:t>
            </w:r>
            <w:r w:rsidRPr="00B41D57">
              <w:t xml:space="preserve"> / 10 000 ošetřených zvířat, včetně ojedinělých hlášení):</w:t>
            </w:r>
          </w:p>
        </w:tc>
        <w:tc>
          <w:tcPr>
            <w:tcW w:w="3043" w:type="pct"/>
            <w:hideMark/>
          </w:tcPr>
          <w:p w14:paraId="48BBBBFD" w14:textId="77777777" w:rsidR="006F414D" w:rsidRPr="00B41D57" w:rsidRDefault="006F414D" w:rsidP="00DC13C2">
            <w:pPr>
              <w:spacing w:before="60" w:after="60"/>
              <w:rPr>
                <w:iCs/>
                <w:szCs w:val="22"/>
              </w:rPr>
            </w:pPr>
            <w:r>
              <w:rPr>
                <w:color w:val="000000"/>
                <w:szCs w:val="22"/>
                <w:lang w:eastAsia="sk-SK"/>
              </w:rPr>
              <w:t xml:space="preserve">Hypersenzitivní </w:t>
            </w:r>
            <w:r w:rsidRPr="00CE01FA">
              <w:rPr>
                <w:color w:val="000000"/>
                <w:szCs w:val="22"/>
                <w:lang w:eastAsia="sk-SK"/>
              </w:rPr>
              <w:t>reakce</w:t>
            </w:r>
            <w:r w:rsidRPr="005822F7">
              <w:rPr>
                <w:color w:val="000000"/>
                <w:szCs w:val="22"/>
                <w:vertAlign w:val="superscript"/>
                <w:lang w:eastAsia="sk-SK"/>
              </w:rPr>
              <w:t>1</w:t>
            </w:r>
            <w:r>
              <w:rPr>
                <w:color w:val="000000"/>
                <w:szCs w:val="22"/>
                <w:lang w:eastAsia="sk-SK"/>
              </w:rPr>
              <w:t xml:space="preserve">, Alergické </w:t>
            </w:r>
            <w:r w:rsidRPr="00CE01FA">
              <w:rPr>
                <w:color w:val="000000"/>
                <w:szCs w:val="22"/>
                <w:lang w:eastAsia="sk-SK"/>
              </w:rPr>
              <w:t>kožní reakce</w:t>
            </w:r>
            <w:r w:rsidRPr="005822F7">
              <w:rPr>
                <w:color w:val="000000"/>
                <w:szCs w:val="22"/>
                <w:vertAlign w:val="superscript"/>
                <w:lang w:eastAsia="sk-SK"/>
              </w:rPr>
              <w:t>1</w:t>
            </w:r>
            <w:r>
              <w:rPr>
                <w:color w:val="000000"/>
                <w:szCs w:val="22"/>
                <w:lang w:eastAsia="sk-SK"/>
              </w:rPr>
              <w:t>, Anafylaxe</w:t>
            </w:r>
            <w:r w:rsidRPr="005822F7">
              <w:rPr>
                <w:color w:val="000000"/>
                <w:szCs w:val="22"/>
                <w:vertAlign w:val="superscript"/>
                <w:lang w:eastAsia="sk-SK"/>
              </w:rPr>
              <w:t>1</w:t>
            </w:r>
          </w:p>
        </w:tc>
      </w:tr>
    </w:tbl>
    <w:p w14:paraId="3D7D32E2" w14:textId="77777777" w:rsidR="006F414D" w:rsidRDefault="006F414D" w:rsidP="006F414D">
      <w:pPr>
        <w:rPr>
          <w:szCs w:val="22"/>
        </w:rPr>
      </w:pPr>
      <w:r w:rsidRPr="00515B77">
        <w:rPr>
          <w:szCs w:val="22"/>
          <w:vertAlign w:val="superscript"/>
        </w:rPr>
        <w:t>1</w:t>
      </w:r>
      <w:r>
        <w:rPr>
          <w:szCs w:val="22"/>
        </w:rPr>
        <w:t xml:space="preserve"> </w:t>
      </w:r>
      <w:r w:rsidRPr="00CE01FA">
        <w:rPr>
          <w:color w:val="000000"/>
          <w:szCs w:val="22"/>
          <w:lang w:eastAsia="sk-SK"/>
        </w:rPr>
        <w:t xml:space="preserve">V případě </w:t>
      </w:r>
      <w:r>
        <w:rPr>
          <w:color w:val="000000"/>
          <w:szCs w:val="22"/>
          <w:lang w:eastAsia="sk-SK"/>
        </w:rPr>
        <w:t>hypersenzitivní</w:t>
      </w:r>
      <w:r w:rsidRPr="00CE01FA">
        <w:rPr>
          <w:color w:val="000000"/>
          <w:szCs w:val="22"/>
          <w:lang w:eastAsia="sk-SK"/>
        </w:rPr>
        <w:t xml:space="preserve"> reakce by měla být léčba okamžitě</w:t>
      </w:r>
      <w:r>
        <w:rPr>
          <w:color w:val="000000"/>
          <w:szCs w:val="22"/>
          <w:lang w:eastAsia="sk-SK"/>
        </w:rPr>
        <w:t xml:space="preserve"> </w:t>
      </w:r>
      <w:r w:rsidRPr="00CE01FA">
        <w:rPr>
          <w:color w:val="000000"/>
          <w:szCs w:val="22"/>
          <w:lang w:eastAsia="sk-SK"/>
        </w:rPr>
        <w:t>přerušena.</w:t>
      </w:r>
    </w:p>
    <w:p w14:paraId="0715CE63" w14:textId="77777777" w:rsidR="006F414D" w:rsidRDefault="006F414D" w:rsidP="006F414D">
      <w:pPr>
        <w:rPr>
          <w:szCs w:val="22"/>
        </w:rPr>
      </w:pPr>
      <w:r w:rsidRPr="00515B77">
        <w:rPr>
          <w:szCs w:val="22"/>
          <w:vertAlign w:val="superscript"/>
        </w:rPr>
        <w:t>2</w:t>
      </w:r>
      <w:r>
        <w:rPr>
          <w:szCs w:val="22"/>
        </w:rPr>
        <w:t xml:space="preserve"> </w:t>
      </w:r>
      <w:r w:rsidRPr="00027E6A">
        <w:rPr>
          <w:color w:val="000000"/>
          <w:szCs w:val="22"/>
          <w:lang w:eastAsia="sk-SK"/>
        </w:rPr>
        <w:t>Klinické zlepšení nastává u většiny zvířat do 10 dnů po injekčním podání</w:t>
      </w:r>
      <w:r>
        <w:rPr>
          <w:color w:val="000000"/>
          <w:szCs w:val="22"/>
          <w:lang w:eastAsia="sk-SK"/>
        </w:rPr>
        <w:t>,</w:t>
      </w:r>
      <w:r w:rsidRPr="00027E6A">
        <w:rPr>
          <w:color w:val="000000"/>
          <w:szCs w:val="22"/>
          <w:lang w:eastAsia="sk-SK"/>
        </w:rPr>
        <w:t xml:space="preserve"> i když mírně zabarvení tkáně může přetrvávat až po dobu 28 dnů nebo déle.</w:t>
      </w:r>
    </w:p>
    <w:p w14:paraId="6A9B6DF9" w14:textId="77777777" w:rsidR="006F414D" w:rsidRDefault="006F414D" w:rsidP="006F414D">
      <w:pPr>
        <w:rPr>
          <w:szCs w:val="22"/>
        </w:rPr>
      </w:pPr>
      <w:r w:rsidRPr="00515B77">
        <w:rPr>
          <w:szCs w:val="22"/>
          <w:vertAlign w:val="superscript"/>
        </w:rPr>
        <w:t>3</w:t>
      </w:r>
      <w:r>
        <w:rPr>
          <w:szCs w:val="22"/>
        </w:rPr>
        <w:t xml:space="preserve"> </w:t>
      </w:r>
      <w:r>
        <w:rPr>
          <w:color w:val="000000"/>
          <w:szCs w:val="22"/>
          <w:lang w:eastAsia="sk-SK"/>
        </w:rPr>
        <w:t>P</w:t>
      </w:r>
      <w:r w:rsidRPr="00027E6A">
        <w:rPr>
          <w:color w:val="000000"/>
          <w:szCs w:val="22"/>
          <w:lang w:eastAsia="sk-SK"/>
        </w:rPr>
        <w:t>ojivové tkáně</w:t>
      </w:r>
      <w:r>
        <w:rPr>
          <w:color w:val="000000"/>
          <w:szCs w:val="22"/>
          <w:lang w:eastAsia="sk-SK"/>
        </w:rPr>
        <w:t>.</w:t>
      </w:r>
    </w:p>
    <w:p w14:paraId="67D6EAA2" w14:textId="77777777" w:rsidR="006F414D" w:rsidRDefault="006F414D" w:rsidP="006F414D">
      <w:pPr>
        <w:rPr>
          <w:szCs w:val="22"/>
        </w:rPr>
      </w:pPr>
      <w:r w:rsidRPr="00515B77">
        <w:rPr>
          <w:szCs w:val="22"/>
          <w:vertAlign w:val="superscript"/>
        </w:rPr>
        <w:t>4</w:t>
      </w:r>
      <w:r>
        <w:rPr>
          <w:szCs w:val="22"/>
        </w:rPr>
        <w:t xml:space="preserve"> </w:t>
      </w:r>
      <w:r>
        <w:rPr>
          <w:color w:val="000000"/>
          <w:szCs w:val="22"/>
          <w:lang w:eastAsia="sk-SK"/>
        </w:rPr>
        <w:t>P</w:t>
      </w:r>
      <w:r w:rsidRPr="00027E6A">
        <w:rPr>
          <w:color w:val="000000"/>
          <w:szCs w:val="22"/>
          <w:lang w:eastAsia="sk-SK"/>
        </w:rPr>
        <w:t>odkoží a / nebo povrchu fascie svalu</w:t>
      </w:r>
      <w:r>
        <w:rPr>
          <w:color w:val="000000"/>
          <w:szCs w:val="22"/>
          <w:lang w:eastAsia="sk-SK"/>
        </w:rPr>
        <w:t>.</w:t>
      </w:r>
    </w:p>
    <w:p w14:paraId="3AF42863" w14:textId="77777777" w:rsidR="006F414D" w:rsidRDefault="006F414D" w:rsidP="006F414D">
      <w:pPr>
        <w:rPr>
          <w:szCs w:val="22"/>
        </w:rPr>
      </w:pPr>
    </w:p>
    <w:p w14:paraId="43BE2825" w14:textId="77777777" w:rsidR="006F414D" w:rsidRDefault="006F414D" w:rsidP="006F414D">
      <w:pPr>
        <w:rPr>
          <w:szCs w:val="22"/>
        </w:rPr>
      </w:pPr>
      <w:r>
        <w:rPr>
          <w:szCs w:val="22"/>
        </w:rPr>
        <w:t>Prasata: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5"/>
      </w:tblGrid>
      <w:tr w:rsidR="006F414D" w:rsidRPr="00B41D57" w14:paraId="3E83EBC2" w14:textId="77777777" w:rsidTr="00DC13C2">
        <w:tc>
          <w:tcPr>
            <w:tcW w:w="1957" w:type="pct"/>
          </w:tcPr>
          <w:p w14:paraId="7116E689" w14:textId="77777777" w:rsidR="006F414D" w:rsidRPr="00B41D57" w:rsidRDefault="006F414D" w:rsidP="00DC13C2">
            <w:pPr>
              <w:spacing w:before="60" w:after="60"/>
              <w:rPr>
                <w:szCs w:val="22"/>
              </w:rPr>
            </w:pPr>
            <w:r w:rsidRPr="00B41D57">
              <w:t>Velmi vzácné</w:t>
            </w:r>
          </w:p>
          <w:p w14:paraId="16970078" w14:textId="77777777" w:rsidR="006F414D" w:rsidRPr="00B41D57" w:rsidRDefault="006F414D" w:rsidP="00DC13C2">
            <w:pPr>
              <w:spacing w:before="60" w:after="60"/>
              <w:rPr>
                <w:szCs w:val="22"/>
              </w:rPr>
            </w:pPr>
            <w:r w:rsidRPr="001B7B38">
              <w:t>(&lt;1 zvíře</w:t>
            </w:r>
            <w:r w:rsidRPr="00B41D57">
              <w:t xml:space="preserve"> / 10 000 ošetřených zvířat, včetně ojedinělých hlášení):</w:t>
            </w:r>
          </w:p>
        </w:tc>
        <w:tc>
          <w:tcPr>
            <w:tcW w:w="3043" w:type="pct"/>
            <w:hideMark/>
          </w:tcPr>
          <w:p w14:paraId="39F9C83F" w14:textId="77777777" w:rsidR="006F414D" w:rsidRPr="00B41D57" w:rsidRDefault="006F414D" w:rsidP="00DC13C2">
            <w:pPr>
              <w:spacing w:before="60" w:after="60"/>
              <w:rPr>
                <w:iCs/>
                <w:szCs w:val="22"/>
              </w:rPr>
            </w:pPr>
            <w:r>
              <w:rPr>
                <w:color w:val="000000"/>
                <w:szCs w:val="22"/>
                <w:lang w:eastAsia="sk-SK"/>
              </w:rPr>
              <w:t xml:space="preserve">Hypersenzitivní </w:t>
            </w:r>
            <w:r w:rsidRPr="00CE01FA">
              <w:rPr>
                <w:color w:val="000000"/>
                <w:szCs w:val="22"/>
                <w:lang w:eastAsia="sk-SK"/>
              </w:rPr>
              <w:t>reakce</w:t>
            </w:r>
            <w:r w:rsidRPr="005822F7">
              <w:rPr>
                <w:color w:val="000000"/>
                <w:szCs w:val="22"/>
                <w:vertAlign w:val="superscript"/>
                <w:lang w:eastAsia="sk-SK"/>
              </w:rPr>
              <w:t>1</w:t>
            </w:r>
            <w:r>
              <w:rPr>
                <w:color w:val="000000"/>
                <w:szCs w:val="22"/>
                <w:lang w:eastAsia="sk-SK"/>
              </w:rPr>
              <w:t xml:space="preserve">, Alergické </w:t>
            </w:r>
            <w:r w:rsidRPr="00CE01FA">
              <w:rPr>
                <w:color w:val="000000"/>
                <w:szCs w:val="22"/>
                <w:lang w:eastAsia="sk-SK"/>
              </w:rPr>
              <w:t>kožní reakce</w:t>
            </w:r>
            <w:r w:rsidRPr="005822F7">
              <w:rPr>
                <w:color w:val="000000"/>
                <w:szCs w:val="22"/>
                <w:vertAlign w:val="superscript"/>
                <w:lang w:eastAsia="sk-SK"/>
              </w:rPr>
              <w:t>1</w:t>
            </w:r>
            <w:r>
              <w:rPr>
                <w:color w:val="000000"/>
                <w:szCs w:val="22"/>
                <w:lang w:eastAsia="sk-SK"/>
              </w:rPr>
              <w:t>, Anafylaxe</w:t>
            </w:r>
            <w:r w:rsidRPr="005822F7">
              <w:rPr>
                <w:color w:val="000000"/>
                <w:szCs w:val="22"/>
                <w:vertAlign w:val="superscript"/>
                <w:lang w:eastAsia="sk-SK"/>
              </w:rPr>
              <w:t>1</w:t>
            </w:r>
          </w:p>
        </w:tc>
      </w:tr>
      <w:tr w:rsidR="006F414D" w:rsidRPr="00B41D57" w14:paraId="7C88113B" w14:textId="77777777" w:rsidTr="00DC13C2">
        <w:tc>
          <w:tcPr>
            <w:tcW w:w="1957" w:type="pct"/>
          </w:tcPr>
          <w:p w14:paraId="65F84744" w14:textId="77777777" w:rsidR="006F414D" w:rsidRDefault="006F414D" w:rsidP="00DC13C2">
            <w:pPr>
              <w:spacing w:before="60" w:after="60"/>
            </w:pPr>
            <w:r>
              <w:t>Neznámá četnost</w:t>
            </w:r>
          </w:p>
          <w:p w14:paraId="00D2FB16" w14:textId="77777777" w:rsidR="006F414D" w:rsidRPr="00B41D57" w:rsidRDefault="006F414D" w:rsidP="00DC13C2">
            <w:pPr>
              <w:spacing w:before="60" w:after="60"/>
            </w:pPr>
            <w:r>
              <w:t>(z dostupných údajů nelze určit)</w:t>
            </w:r>
          </w:p>
        </w:tc>
        <w:tc>
          <w:tcPr>
            <w:tcW w:w="3043" w:type="pct"/>
          </w:tcPr>
          <w:p w14:paraId="38F72660" w14:textId="77777777" w:rsidR="006F414D" w:rsidRPr="00B41D57" w:rsidRDefault="006F414D" w:rsidP="00DC13C2">
            <w:pPr>
              <w:spacing w:before="60" w:after="60"/>
            </w:pPr>
            <w:r>
              <w:rPr>
                <w:color w:val="000000"/>
                <w:szCs w:val="22"/>
                <w:lang w:eastAsia="sk-SK"/>
              </w:rPr>
              <w:t>R</w:t>
            </w:r>
            <w:r w:rsidRPr="00027E6A">
              <w:rPr>
                <w:color w:val="000000"/>
                <w:szCs w:val="22"/>
                <w:lang w:eastAsia="sk-SK"/>
              </w:rPr>
              <w:t>eakce v místě injekčního podání</w:t>
            </w:r>
            <w:r w:rsidRPr="00515B77">
              <w:rPr>
                <w:color w:val="000000"/>
                <w:szCs w:val="22"/>
                <w:vertAlign w:val="superscript"/>
                <w:lang w:eastAsia="sk-SK"/>
              </w:rPr>
              <w:t>2</w:t>
            </w:r>
            <w:r>
              <w:rPr>
                <w:color w:val="000000"/>
                <w:szCs w:val="22"/>
                <w:lang w:eastAsia="sk-SK"/>
              </w:rPr>
              <w:t xml:space="preserve"> (např. </w:t>
            </w:r>
            <w:r w:rsidRPr="005822F7">
              <w:rPr>
                <w:color w:val="000000"/>
                <w:szCs w:val="22"/>
                <w:lang w:eastAsia="sk-SK"/>
              </w:rPr>
              <w:t>změna barvy</w:t>
            </w:r>
            <w:r w:rsidRPr="00515B77">
              <w:rPr>
                <w:color w:val="000000"/>
                <w:szCs w:val="22"/>
                <w:vertAlign w:val="superscript"/>
                <w:lang w:eastAsia="sk-SK"/>
              </w:rPr>
              <w:t>3</w:t>
            </w:r>
            <w:r>
              <w:rPr>
                <w:color w:val="000000"/>
                <w:szCs w:val="22"/>
                <w:lang w:eastAsia="sk-SK"/>
              </w:rPr>
              <w:t>)</w:t>
            </w:r>
          </w:p>
        </w:tc>
      </w:tr>
    </w:tbl>
    <w:p w14:paraId="0B0A005E" w14:textId="77777777" w:rsidR="006F414D" w:rsidRDefault="006F414D" w:rsidP="006F414D">
      <w:pPr>
        <w:rPr>
          <w:szCs w:val="22"/>
        </w:rPr>
      </w:pPr>
      <w:r w:rsidRPr="00515B77">
        <w:rPr>
          <w:szCs w:val="22"/>
          <w:vertAlign w:val="superscript"/>
        </w:rPr>
        <w:t>1</w:t>
      </w:r>
      <w:r>
        <w:rPr>
          <w:szCs w:val="22"/>
        </w:rPr>
        <w:t xml:space="preserve"> </w:t>
      </w:r>
      <w:r w:rsidRPr="00CE01FA">
        <w:rPr>
          <w:color w:val="000000"/>
          <w:szCs w:val="22"/>
          <w:lang w:eastAsia="sk-SK"/>
        </w:rPr>
        <w:t xml:space="preserve">V případě </w:t>
      </w:r>
      <w:r>
        <w:rPr>
          <w:color w:val="000000"/>
          <w:szCs w:val="22"/>
          <w:lang w:eastAsia="sk-SK"/>
        </w:rPr>
        <w:t>hypersenzitivní</w:t>
      </w:r>
      <w:r w:rsidRPr="00CE01FA">
        <w:rPr>
          <w:color w:val="000000"/>
          <w:szCs w:val="22"/>
          <w:lang w:eastAsia="sk-SK"/>
        </w:rPr>
        <w:t xml:space="preserve"> reakce by měla být léčba okamžitě</w:t>
      </w:r>
      <w:r>
        <w:rPr>
          <w:color w:val="000000"/>
          <w:szCs w:val="22"/>
          <w:lang w:eastAsia="sk-SK"/>
        </w:rPr>
        <w:t xml:space="preserve"> </w:t>
      </w:r>
      <w:r w:rsidRPr="00CE01FA">
        <w:rPr>
          <w:color w:val="000000"/>
          <w:szCs w:val="22"/>
          <w:lang w:eastAsia="sk-SK"/>
        </w:rPr>
        <w:t>přerušena.</w:t>
      </w:r>
    </w:p>
    <w:p w14:paraId="19BCDA69" w14:textId="77777777" w:rsidR="006F414D" w:rsidRDefault="006F414D" w:rsidP="006F414D">
      <w:pPr>
        <w:rPr>
          <w:szCs w:val="22"/>
        </w:rPr>
      </w:pPr>
      <w:r w:rsidRPr="00515B77">
        <w:rPr>
          <w:szCs w:val="22"/>
          <w:vertAlign w:val="superscript"/>
        </w:rPr>
        <w:t>2</w:t>
      </w:r>
      <w:r>
        <w:rPr>
          <w:szCs w:val="22"/>
        </w:rPr>
        <w:t xml:space="preserve"> </w:t>
      </w:r>
      <w:r>
        <w:rPr>
          <w:color w:val="000000"/>
          <w:szCs w:val="22"/>
          <w:lang w:eastAsia="sk-SK"/>
        </w:rPr>
        <w:t>M</w:t>
      </w:r>
      <w:r w:rsidRPr="00027E6A">
        <w:rPr>
          <w:color w:val="000000"/>
          <w:szCs w:val="22"/>
          <w:lang w:eastAsia="sk-SK"/>
        </w:rPr>
        <w:t>írné</w:t>
      </w:r>
      <w:r>
        <w:rPr>
          <w:color w:val="000000"/>
          <w:szCs w:val="22"/>
          <w:lang w:eastAsia="sk-SK"/>
        </w:rPr>
        <w:t xml:space="preserve">, </w:t>
      </w:r>
      <w:r w:rsidRPr="00515B77">
        <w:rPr>
          <w:color w:val="000000"/>
          <w:szCs w:val="22"/>
          <w:lang w:eastAsia="sk-SK"/>
        </w:rPr>
        <w:t>pozorována u některých zvířat po dobu až 20 dnů po</w:t>
      </w:r>
      <w:r>
        <w:rPr>
          <w:color w:val="000000"/>
          <w:szCs w:val="22"/>
          <w:lang w:eastAsia="sk-SK"/>
        </w:rPr>
        <w:t xml:space="preserve"> </w:t>
      </w:r>
      <w:r w:rsidRPr="00027E6A">
        <w:rPr>
          <w:color w:val="000000"/>
          <w:szCs w:val="22"/>
          <w:lang w:eastAsia="sk-SK"/>
        </w:rPr>
        <w:t>injekčním podání</w:t>
      </w:r>
      <w:r>
        <w:rPr>
          <w:color w:val="000000"/>
          <w:szCs w:val="22"/>
          <w:lang w:eastAsia="sk-SK"/>
        </w:rPr>
        <w:t>.</w:t>
      </w:r>
    </w:p>
    <w:p w14:paraId="7D13B3D3" w14:textId="77777777" w:rsidR="006F414D" w:rsidRDefault="006F414D" w:rsidP="006F414D">
      <w:pPr>
        <w:rPr>
          <w:szCs w:val="22"/>
        </w:rPr>
      </w:pPr>
      <w:r w:rsidRPr="00515B77">
        <w:rPr>
          <w:szCs w:val="22"/>
          <w:vertAlign w:val="superscript"/>
        </w:rPr>
        <w:t>3</w:t>
      </w:r>
      <w:r>
        <w:rPr>
          <w:szCs w:val="22"/>
        </w:rPr>
        <w:t xml:space="preserve"> </w:t>
      </w:r>
      <w:r>
        <w:rPr>
          <w:color w:val="000000"/>
          <w:szCs w:val="22"/>
          <w:lang w:eastAsia="sk-SK"/>
        </w:rPr>
        <w:t>F</w:t>
      </w:r>
      <w:r w:rsidRPr="00027E6A">
        <w:rPr>
          <w:color w:val="000000"/>
          <w:szCs w:val="22"/>
          <w:lang w:eastAsia="sk-SK"/>
        </w:rPr>
        <w:t>ascie nebo tuku</w:t>
      </w:r>
    </w:p>
    <w:p w14:paraId="62A32AC0" w14:textId="77777777" w:rsidR="007F512D" w:rsidRPr="00B41D57" w:rsidRDefault="007F512D" w:rsidP="007F512D">
      <w:pPr>
        <w:tabs>
          <w:tab w:val="clear" w:pos="567"/>
        </w:tabs>
        <w:spacing w:line="240" w:lineRule="auto"/>
        <w:rPr>
          <w:iCs/>
          <w:szCs w:val="22"/>
        </w:rPr>
      </w:pPr>
    </w:p>
    <w:p w14:paraId="051A6FBB" w14:textId="1B4F3BCC" w:rsidR="005A6D17" w:rsidRDefault="007F512D" w:rsidP="006F414D">
      <w:bookmarkStart w:id="14" w:name="_Hlk127278522"/>
      <w:bookmarkStart w:id="15" w:name="_Hlk161521033"/>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5A6D17">
        <w:t>i</w:t>
      </w:r>
      <w:r w:rsidRPr="00B41D57">
        <w:t xml:space="preserve"> rozhodnutí o registraci </w:t>
      </w:r>
      <w:r>
        <w:t xml:space="preserve">nebo </w:t>
      </w:r>
      <w:r w:rsidRPr="00B41D57">
        <w:t>místní</w:t>
      </w:r>
      <w:r w:rsidR="005A6D17">
        <w:t>mu</w:t>
      </w:r>
      <w:r w:rsidRPr="00B41D57">
        <w:t xml:space="preserve"> zástupc</w:t>
      </w:r>
      <w:r w:rsidR="005A6D17">
        <w:t>i</w:t>
      </w:r>
      <w:r w:rsidRPr="00B41D57">
        <w:t xml:space="preserve"> držitele rozhodnutí o registraci s využitím kontaktních údajů uvedených na konci této příbalové informace nebo prostřednictvím národního systému hlášení nežádoucích účinků</w:t>
      </w:r>
      <w:bookmarkEnd w:id="14"/>
      <w:r w:rsidR="006F414D">
        <w:t xml:space="preserve">: </w:t>
      </w:r>
      <w:bookmarkStart w:id="16" w:name="_Hlk138314501"/>
    </w:p>
    <w:p w14:paraId="5CEF1459" w14:textId="77777777" w:rsidR="005A6D17" w:rsidRDefault="005A6D17" w:rsidP="006F414D">
      <w:pPr>
        <w:rPr>
          <w:szCs w:val="22"/>
        </w:rPr>
      </w:pPr>
    </w:p>
    <w:p w14:paraId="7170BA40" w14:textId="77777777" w:rsidR="005A6D17" w:rsidRDefault="007F512D" w:rsidP="006F414D">
      <w:pPr>
        <w:rPr>
          <w:szCs w:val="22"/>
        </w:rPr>
      </w:pPr>
      <w:r w:rsidRPr="002E4954">
        <w:rPr>
          <w:szCs w:val="22"/>
        </w:rPr>
        <w:t>Ústav pro státní kontrolu veterinárních biopreparátů a léčiv</w:t>
      </w:r>
      <w:r>
        <w:rPr>
          <w:szCs w:val="22"/>
        </w:rPr>
        <w:t>,</w:t>
      </w:r>
    </w:p>
    <w:p w14:paraId="731BA3CA" w14:textId="49B5D3FB" w:rsidR="005A6D17" w:rsidRDefault="007F512D" w:rsidP="006F414D">
      <w:pPr>
        <w:rPr>
          <w:szCs w:val="22"/>
        </w:rPr>
      </w:pPr>
      <w:r w:rsidRPr="002E4954">
        <w:rPr>
          <w:szCs w:val="22"/>
        </w:rPr>
        <w:t>Hudcova 232/56</w:t>
      </w:r>
      <w:r w:rsidR="005A6D17">
        <w:rPr>
          <w:szCs w:val="22"/>
        </w:rPr>
        <w:t xml:space="preserve"> </w:t>
      </w:r>
      <w:r w:rsidRPr="002E4954">
        <w:rPr>
          <w:szCs w:val="22"/>
        </w:rPr>
        <w:t>a</w:t>
      </w:r>
      <w:r>
        <w:rPr>
          <w:szCs w:val="22"/>
        </w:rPr>
        <w:t>,</w:t>
      </w:r>
    </w:p>
    <w:p w14:paraId="437D4255" w14:textId="5F9219FA" w:rsidR="005A6D17" w:rsidRDefault="007F512D" w:rsidP="006F414D">
      <w:pPr>
        <w:rPr>
          <w:szCs w:val="22"/>
        </w:rPr>
      </w:pPr>
      <w:r w:rsidRPr="002E4954">
        <w:rPr>
          <w:szCs w:val="22"/>
        </w:rPr>
        <w:t>621 00 Brno</w:t>
      </w:r>
      <w:r>
        <w:rPr>
          <w:szCs w:val="22"/>
        </w:rPr>
        <w:t>,</w:t>
      </w:r>
    </w:p>
    <w:p w14:paraId="3D3A855F" w14:textId="0158377E" w:rsidR="005A6D17" w:rsidRDefault="005A6D17" w:rsidP="006F414D">
      <w:pPr>
        <w:rPr>
          <w:szCs w:val="22"/>
        </w:rPr>
      </w:pPr>
      <w:r>
        <w:rPr>
          <w:szCs w:val="22"/>
        </w:rPr>
        <w:t>E-m</w:t>
      </w:r>
      <w:r w:rsidR="007F512D" w:rsidRPr="002E4954">
        <w:rPr>
          <w:szCs w:val="22"/>
        </w:rPr>
        <w:t xml:space="preserve">ail: </w:t>
      </w:r>
      <w:hyperlink r:id="rId8" w:history="1">
        <w:r w:rsidR="007F512D" w:rsidRPr="00E63C5A">
          <w:rPr>
            <w:rStyle w:val="Hypertextovodkaz"/>
            <w:szCs w:val="22"/>
          </w:rPr>
          <w:t>adr@uskvbl.cz</w:t>
        </w:r>
      </w:hyperlink>
      <w:r w:rsidR="007F512D">
        <w:rPr>
          <w:szCs w:val="22"/>
        </w:rPr>
        <w:t xml:space="preserve">, </w:t>
      </w:r>
    </w:p>
    <w:p w14:paraId="3D66F431" w14:textId="738E82BD" w:rsidR="007F512D" w:rsidRDefault="007F512D" w:rsidP="006F414D">
      <w:pPr>
        <w:rPr>
          <w:szCs w:val="22"/>
        </w:rPr>
      </w:pPr>
      <w:r w:rsidRPr="002E4954">
        <w:rPr>
          <w:szCs w:val="22"/>
        </w:rPr>
        <w:t xml:space="preserve">Webové stránky: </w:t>
      </w:r>
      <w:hyperlink r:id="rId9" w:history="1">
        <w:r w:rsidRPr="002E4954">
          <w:rPr>
            <w:rStyle w:val="Hypertextovodkaz"/>
            <w:szCs w:val="22"/>
          </w:rPr>
          <w:t>http://www.uskvbl.cz/cs/farmakovigilance</w:t>
        </w:r>
      </w:hyperlink>
    </w:p>
    <w:bookmarkEnd w:id="15"/>
    <w:bookmarkEnd w:id="16"/>
    <w:p w14:paraId="31B2BF3D" w14:textId="77777777" w:rsidR="007F512D" w:rsidRDefault="007F512D" w:rsidP="007F512D">
      <w:pPr>
        <w:rPr>
          <w:szCs w:val="22"/>
        </w:rPr>
      </w:pPr>
    </w:p>
    <w:p w14:paraId="719DDB2C" w14:textId="77777777" w:rsidR="007F512D" w:rsidRPr="00B41D57" w:rsidRDefault="007F512D" w:rsidP="007F512D">
      <w:pPr>
        <w:tabs>
          <w:tab w:val="clear" w:pos="567"/>
        </w:tabs>
        <w:spacing w:line="240" w:lineRule="auto"/>
        <w:rPr>
          <w:iCs/>
          <w:szCs w:val="22"/>
        </w:rPr>
      </w:pPr>
    </w:p>
    <w:p w14:paraId="4FEE2A42" w14:textId="77777777" w:rsidR="007F512D" w:rsidRPr="00B41D57" w:rsidRDefault="007F512D" w:rsidP="007F512D">
      <w:pPr>
        <w:pStyle w:val="Style1"/>
      </w:pPr>
      <w:bookmarkStart w:id="17" w:name="_Hlk127278557"/>
      <w:r w:rsidRPr="00B41D57">
        <w:rPr>
          <w:highlight w:val="lightGray"/>
        </w:rPr>
        <w:t>8.</w:t>
      </w:r>
      <w:r w:rsidRPr="00B41D57">
        <w:tab/>
        <w:t>Dávkování pro každý druh, cesty a způsob podání</w:t>
      </w:r>
    </w:p>
    <w:bookmarkEnd w:id="17"/>
    <w:p w14:paraId="7ED808CE" w14:textId="77777777" w:rsidR="007F512D" w:rsidRPr="00B41D57" w:rsidRDefault="007F512D" w:rsidP="007F512D">
      <w:pPr>
        <w:tabs>
          <w:tab w:val="clear" w:pos="567"/>
        </w:tabs>
        <w:spacing w:line="240" w:lineRule="auto"/>
        <w:rPr>
          <w:szCs w:val="22"/>
        </w:rPr>
      </w:pPr>
    </w:p>
    <w:p w14:paraId="1A6B80F1" w14:textId="77777777" w:rsidR="007E186D" w:rsidRPr="007E186D" w:rsidRDefault="007E186D" w:rsidP="007E186D">
      <w:pPr>
        <w:tabs>
          <w:tab w:val="clear" w:pos="567"/>
        </w:tabs>
        <w:spacing w:line="240" w:lineRule="auto"/>
        <w:textAlignment w:val="top"/>
        <w:rPr>
          <w:color w:val="000000"/>
          <w:szCs w:val="22"/>
          <w:lang w:eastAsia="sk-SK"/>
        </w:rPr>
      </w:pPr>
      <w:r w:rsidRPr="007E186D">
        <w:rPr>
          <w:b/>
          <w:color w:val="000000"/>
          <w:szCs w:val="22"/>
          <w:lang w:eastAsia="sk-SK"/>
        </w:rPr>
        <w:t>Skot:</w:t>
      </w:r>
      <w:r w:rsidRPr="007E186D">
        <w:rPr>
          <w:color w:val="000000"/>
          <w:szCs w:val="22"/>
          <w:lang w:eastAsia="sk-SK"/>
        </w:rPr>
        <w:t xml:space="preserve"> subkutánní podání.</w:t>
      </w:r>
    </w:p>
    <w:p w14:paraId="293E6C01"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 xml:space="preserve">- respirační onemocnění: 1 mg ceftiofuru / kg ž.hm. / den, tj. 1 ml přípravku/50 kg ž.hm.; po dobu 3 - 5 dnů, </w:t>
      </w:r>
    </w:p>
    <w:p w14:paraId="5AC21CA8"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 akutní interdigitální nekrobacilóza: 1 mg ceftiofuru / kg ž.hm./ den, tj. 1 ml přípravku/50 kg ž.hm.; po dobu 3 dnů.</w:t>
      </w:r>
    </w:p>
    <w:p w14:paraId="63D23F02"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 akutní poporodní metritidy v době do 10 dnů po otelení: 1 mg ceftiofuru  / kg ž.hm. / den, tj. 1 ml přípravku/50 kg ž.hm.; po dobu 5 po sobě jdoucích dnů.</w:t>
      </w:r>
    </w:p>
    <w:p w14:paraId="13C811BC"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V případě akutní poporodní metritidy může být v některých případech nutná další podpůrná léčba.</w:t>
      </w:r>
    </w:p>
    <w:p w14:paraId="7D5D233F" w14:textId="77777777" w:rsidR="007E186D" w:rsidRPr="007E186D" w:rsidRDefault="007E186D" w:rsidP="007E186D">
      <w:pPr>
        <w:tabs>
          <w:tab w:val="clear" w:pos="567"/>
        </w:tabs>
        <w:spacing w:line="240" w:lineRule="auto"/>
        <w:textAlignment w:val="top"/>
        <w:rPr>
          <w:color w:val="000000"/>
          <w:szCs w:val="22"/>
          <w:lang w:eastAsia="sk-SK"/>
        </w:rPr>
      </w:pPr>
    </w:p>
    <w:p w14:paraId="791E32CD" w14:textId="77777777" w:rsidR="007E186D" w:rsidRPr="007E186D" w:rsidRDefault="007E186D" w:rsidP="007E186D">
      <w:pPr>
        <w:tabs>
          <w:tab w:val="clear" w:pos="567"/>
        </w:tabs>
        <w:spacing w:line="240" w:lineRule="auto"/>
        <w:textAlignment w:val="top"/>
        <w:rPr>
          <w:color w:val="000000"/>
          <w:szCs w:val="22"/>
          <w:lang w:eastAsia="sk-SK"/>
        </w:rPr>
      </w:pPr>
      <w:r w:rsidRPr="007E186D">
        <w:rPr>
          <w:b/>
          <w:color w:val="000000"/>
          <w:szCs w:val="22"/>
          <w:lang w:eastAsia="sk-SK"/>
        </w:rPr>
        <w:t>Prasata:</w:t>
      </w:r>
      <w:r w:rsidRPr="007E186D">
        <w:rPr>
          <w:color w:val="000000"/>
          <w:szCs w:val="22"/>
          <w:lang w:eastAsia="sk-SK"/>
        </w:rPr>
        <w:t xml:space="preserve"> intramuskulární podání.</w:t>
      </w:r>
    </w:p>
    <w:p w14:paraId="168FD9B0"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 xml:space="preserve">3 mg ceftiofuru/ kg ž.hm. / den, tj. 1 ml přípravku/16 kg ž.hm; po dobu 3 dnů </w:t>
      </w:r>
    </w:p>
    <w:p w14:paraId="279EE81E" w14:textId="77777777" w:rsidR="007E186D" w:rsidRPr="007E186D" w:rsidRDefault="007E186D" w:rsidP="007E186D">
      <w:pPr>
        <w:tabs>
          <w:tab w:val="clear" w:pos="567"/>
        </w:tabs>
        <w:spacing w:line="240" w:lineRule="auto"/>
        <w:textAlignment w:val="top"/>
        <w:rPr>
          <w:color w:val="000000"/>
          <w:szCs w:val="22"/>
          <w:lang w:eastAsia="sk-SK"/>
        </w:rPr>
      </w:pPr>
    </w:p>
    <w:p w14:paraId="40D6B714" w14:textId="77777777" w:rsidR="007F512D" w:rsidRPr="00B41D57" w:rsidRDefault="007F512D" w:rsidP="007F512D">
      <w:pPr>
        <w:tabs>
          <w:tab w:val="clear" w:pos="567"/>
        </w:tabs>
        <w:spacing w:line="240" w:lineRule="auto"/>
        <w:rPr>
          <w:szCs w:val="22"/>
        </w:rPr>
      </w:pPr>
    </w:p>
    <w:p w14:paraId="083A5801" w14:textId="77777777" w:rsidR="007F512D" w:rsidRPr="00B41D57" w:rsidRDefault="007F512D" w:rsidP="007F512D">
      <w:pPr>
        <w:pStyle w:val="Style1"/>
      </w:pPr>
      <w:bookmarkStart w:id="18" w:name="_Hlk127278568"/>
      <w:r w:rsidRPr="00B41D57">
        <w:rPr>
          <w:highlight w:val="lightGray"/>
        </w:rPr>
        <w:t>9.</w:t>
      </w:r>
      <w:r w:rsidRPr="00B41D57">
        <w:tab/>
        <w:t>Informace o správném podávání</w:t>
      </w:r>
    </w:p>
    <w:bookmarkEnd w:id="18"/>
    <w:p w14:paraId="414EDAC1" w14:textId="77777777" w:rsidR="007F512D" w:rsidRPr="00B41D57" w:rsidRDefault="007F512D" w:rsidP="007F512D">
      <w:pPr>
        <w:tabs>
          <w:tab w:val="clear" w:pos="567"/>
        </w:tabs>
        <w:spacing w:line="240" w:lineRule="auto"/>
        <w:rPr>
          <w:szCs w:val="22"/>
        </w:rPr>
      </w:pPr>
    </w:p>
    <w:p w14:paraId="0ACCC143" w14:textId="444A4B48"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 xml:space="preserve">Před použitím lahvičku dobře protřepejte, aby vznikla suspenze. Pro zajištění správného dávkování je </w:t>
      </w:r>
      <w:r w:rsidRPr="007E186D">
        <w:t>třeba co nejpřesněji stanovit živou hmotnost</w:t>
      </w:r>
      <w:r w:rsidRPr="007E186D">
        <w:rPr>
          <w:color w:val="000000"/>
          <w:szCs w:val="22"/>
          <w:lang w:eastAsia="sk-SK"/>
        </w:rPr>
        <w:t xml:space="preserve">. </w:t>
      </w:r>
    </w:p>
    <w:p w14:paraId="6C1EEAD9" w14:textId="77777777" w:rsidR="007E186D" w:rsidRPr="007E186D" w:rsidRDefault="007E186D" w:rsidP="007E186D">
      <w:pPr>
        <w:tabs>
          <w:tab w:val="clear" w:pos="567"/>
        </w:tabs>
        <w:spacing w:line="240" w:lineRule="auto"/>
        <w:textAlignment w:val="top"/>
        <w:rPr>
          <w:rFonts w:ascii="Arial" w:hAnsi="Arial" w:cs="Arial"/>
          <w:vanish/>
          <w:color w:val="1111CC"/>
          <w:sz w:val="20"/>
          <w:lang w:val="sk-SK" w:eastAsia="sk-SK"/>
        </w:rPr>
      </w:pPr>
      <w:r w:rsidRPr="007E186D">
        <w:rPr>
          <w:color w:val="000000"/>
          <w:szCs w:val="22"/>
          <w:lang w:eastAsia="sk-SK"/>
        </w:rPr>
        <w:t>Používejte různá místa pro po sobě jdoucí injekční podání. Vzhledem k tomu, že zátka nemůže být propíchnuta více než 50krát, je nutno zvolit nejvhodnější velikost lahvičky.</w:t>
      </w:r>
      <w:r w:rsidRPr="007E186D">
        <w:rPr>
          <w:rFonts w:ascii="Arial" w:hAnsi="Arial" w:cs="Arial"/>
          <w:vanish/>
          <w:color w:val="1111CC"/>
          <w:sz w:val="20"/>
          <w:lang w:val="sk-SK" w:eastAsia="sk-SK"/>
        </w:rPr>
        <w:t>Vypočuť</w:t>
      </w:r>
    </w:p>
    <w:p w14:paraId="792479EB" w14:textId="77777777" w:rsidR="007E186D" w:rsidRPr="007E186D" w:rsidRDefault="007E186D" w:rsidP="007E186D">
      <w:pPr>
        <w:tabs>
          <w:tab w:val="clear" w:pos="567"/>
        </w:tabs>
        <w:spacing w:line="240" w:lineRule="auto"/>
        <w:textAlignment w:val="top"/>
        <w:rPr>
          <w:rFonts w:ascii="Arial" w:hAnsi="Arial" w:cs="Arial"/>
          <w:vanish/>
          <w:color w:val="1111CC"/>
          <w:sz w:val="20"/>
          <w:lang w:val="sk-SK" w:eastAsia="sk-SK"/>
        </w:rPr>
      </w:pPr>
      <w:r w:rsidRPr="007E186D">
        <w:rPr>
          <w:rFonts w:ascii="Arial" w:hAnsi="Arial" w:cs="Arial"/>
          <w:vanish/>
          <w:color w:val="1111CC"/>
          <w:sz w:val="20"/>
          <w:lang w:val="sk-SK" w:eastAsia="sk-SK"/>
        </w:rPr>
        <w:t>Čítať foneticky</w:t>
      </w:r>
    </w:p>
    <w:p w14:paraId="07662C94" w14:textId="77777777" w:rsidR="007E186D" w:rsidRPr="007E186D" w:rsidRDefault="007E186D" w:rsidP="007E186D">
      <w:pPr>
        <w:tabs>
          <w:tab w:val="clear" w:pos="567"/>
        </w:tabs>
        <w:spacing w:line="360" w:lineRule="atLeast"/>
        <w:textAlignment w:val="top"/>
        <w:rPr>
          <w:rFonts w:ascii="Lucida Sans Unicode" w:hAnsi="Lucida Sans Unicode" w:cs="Lucida Sans Unicode"/>
          <w:vanish/>
          <w:color w:val="777777"/>
          <w:sz w:val="20"/>
          <w:lang w:val="sk-SK" w:eastAsia="sk-SK"/>
        </w:rPr>
      </w:pPr>
      <w:r w:rsidRPr="007E186D">
        <w:rPr>
          <w:rFonts w:ascii="Lucida Sans Unicode" w:hAnsi="Lucida Sans Unicode" w:cs="Lucida Sans Unicode"/>
          <w:vanish/>
          <w:color w:val="777777"/>
          <w:sz w:val="20"/>
          <w:lang w:val="sk-SK" w:eastAsia="sk-SK"/>
        </w:rPr>
        <w:t> </w:t>
      </w:r>
    </w:p>
    <w:p w14:paraId="75C8D525" w14:textId="77777777" w:rsidR="007E186D" w:rsidRPr="007E186D" w:rsidRDefault="007E186D" w:rsidP="007E186D">
      <w:pPr>
        <w:tabs>
          <w:tab w:val="clear" w:pos="567"/>
        </w:tabs>
        <w:spacing w:after="150" w:line="240" w:lineRule="atLeast"/>
        <w:textAlignment w:val="top"/>
        <w:outlineLvl w:val="3"/>
        <w:rPr>
          <w:rFonts w:ascii="Arial" w:hAnsi="Arial" w:cs="Arial"/>
          <w:vanish/>
          <w:color w:val="888888"/>
          <w:sz w:val="20"/>
          <w:lang w:val="sk-SK" w:eastAsia="sk-SK"/>
        </w:rPr>
      </w:pPr>
      <w:r w:rsidRPr="007E186D">
        <w:rPr>
          <w:rFonts w:ascii="Arial" w:hAnsi="Arial" w:cs="Arial"/>
          <w:vanish/>
          <w:color w:val="888888"/>
          <w:sz w:val="20"/>
          <w:lang w:val="sk-SK" w:eastAsia="sk-SK"/>
        </w:rPr>
        <w:t xml:space="preserve">Slovník - </w:t>
      </w:r>
      <w:hyperlink r:id="rId10" w:history="1">
        <w:r w:rsidRPr="007E186D">
          <w:rPr>
            <w:rFonts w:ascii="Arial" w:hAnsi="Arial" w:cs="Arial"/>
            <w:vanish/>
            <w:color w:val="4272DB"/>
            <w:sz w:val="20"/>
            <w:lang w:val="sk-SK" w:eastAsia="sk-SK"/>
          </w:rPr>
          <w:t>Zobraziť podrobný slovník</w:t>
        </w:r>
      </w:hyperlink>
    </w:p>
    <w:p w14:paraId="34A5F32A" w14:textId="77777777" w:rsidR="007E186D" w:rsidRPr="007E186D" w:rsidRDefault="007E186D" w:rsidP="007E186D">
      <w:pPr>
        <w:tabs>
          <w:tab w:val="clear" w:pos="567"/>
        </w:tabs>
        <w:spacing w:after="240" w:line="240" w:lineRule="atLeast"/>
        <w:textAlignment w:val="top"/>
        <w:outlineLvl w:val="3"/>
        <w:rPr>
          <w:rFonts w:ascii="Arial" w:hAnsi="Arial" w:cs="Arial"/>
          <w:b/>
          <w:bCs/>
          <w:vanish/>
          <w:color w:val="000000"/>
          <w:sz w:val="20"/>
          <w:lang w:val="sk-SK" w:eastAsia="sk-SK"/>
        </w:rPr>
      </w:pPr>
      <w:r w:rsidRPr="007E186D">
        <w:rPr>
          <w:rFonts w:ascii="Arial" w:hAnsi="Arial" w:cs="Arial"/>
          <w:b/>
          <w:bCs/>
          <w:vanish/>
          <w:color w:val="000000"/>
          <w:sz w:val="20"/>
          <w:lang w:val="sk-SK" w:eastAsia="sk-SK"/>
        </w:rPr>
        <w:t>Preložiť akékoľvek webové stránky</w:t>
      </w:r>
    </w:p>
    <w:p w14:paraId="5D6E5C83"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1" w:history="1">
        <w:r w:rsidR="007E186D" w:rsidRPr="007E186D">
          <w:rPr>
            <w:rFonts w:ascii="Arial" w:hAnsi="Arial" w:cs="Arial"/>
            <w:vanish/>
            <w:color w:val="4272DB"/>
            <w:sz w:val="24"/>
            <w:szCs w:val="24"/>
            <w:lang w:val="sk-SK" w:eastAsia="sk-SK"/>
          </w:rPr>
          <w:t>Público.es</w:t>
        </w:r>
      </w:hyperlink>
      <w:r w:rsidR="007E186D" w:rsidRPr="007E186D">
        <w:rPr>
          <w:rFonts w:ascii="Arial" w:hAnsi="Arial" w:cs="Arial"/>
          <w:vanish/>
          <w:color w:val="888888"/>
          <w:sz w:val="24"/>
          <w:szCs w:val="24"/>
          <w:lang w:val="sk-SK" w:eastAsia="sk-SK"/>
        </w:rPr>
        <w:t>-Španielsko</w:t>
      </w:r>
    </w:p>
    <w:p w14:paraId="6DDFE7A7"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2" w:history="1">
        <w:r w:rsidR="007E186D" w:rsidRPr="007E186D">
          <w:rPr>
            <w:rFonts w:ascii="Arial" w:hAnsi="Arial" w:cs="Arial"/>
            <w:vanish/>
            <w:color w:val="4272DB"/>
            <w:sz w:val="24"/>
            <w:szCs w:val="24"/>
            <w:lang w:val="sk-SK" w:eastAsia="sk-SK"/>
          </w:rPr>
          <w:t>Zamalek Fans</w:t>
        </w:r>
      </w:hyperlink>
      <w:r w:rsidR="007E186D" w:rsidRPr="007E186D">
        <w:rPr>
          <w:rFonts w:ascii="Arial" w:hAnsi="Arial" w:cs="Arial"/>
          <w:vanish/>
          <w:color w:val="888888"/>
          <w:sz w:val="24"/>
          <w:szCs w:val="24"/>
          <w:lang w:val="sk-SK" w:eastAsia="sk-SK"/>
        </w:rPr>
        <w:t>-arabčina</w:t>
      </w:r>
    </w:p>
    <w:p w14:paraId="41C6D83F"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3" w:history="1">
        <w:r w:rsidR="007E186D" w:rsidRPr="007E186D">
          <w:rPr>
            <w:rFonts w:ascii="Arial" w:hAnsi="Arial" w:cs="Arial"/>
            <w:vanish/>
            <w:color w:val="4272DB"/>
            <w:sz w:val="24"/>
            <w:szCs w:val="24"/>
            <w:lang w:val="sk-SK" w:eastAsia="sk-SK"/>
          </w:rPr>
          <w:t>The Washington Post</w:t>
        </w:r>
      </w:hyperlink>
      <w:r w:rsidR="007E186D" w:rsidRPr="007E186D">
        <w:rPr>
          <w:rFonts w:ascii="Arial" w:hAnsi="Arial" w:cs="Arial"/>
          <w:vanish/>
          <w:color w:val="888888"/>
          <w:sz w:val="24"/>
          <w:szCs w:val="24"/>
          <w:lang w:val="sk-SK" w:eastAsia="sk-SK"/>
        </w:rPr>
        <w:t>-Spojené štáty americké</w:t>
      </w:r>
    </w:p>
    <w:p w14:paraId="0462B5FE"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4" w:history="1">
        <w:r w:rsidR="007E186D" w:rsidRPr="007E186D">
          <w:rPr>
            <w:rFonts w:ascii="Arial" w:hAnsi="Arial" w:cs="Arial"/>
            <w:vanish/>
            <w:color w:val="4272DB"/>
            <w:sz w:val="24"/>
            <w:szCs w:val="24"/>
            <w:lang w:val="sk-SK" w:eastAsia="sk-SK"/>
          </w:rPr>
          <w:t>Tom.com</w:t>
        </w:r>
      </w:hyperlink>
      <w:r w:rsidR="007E186D" w:rsidRPr="007E186D">
        <w:rPr>
          <w:rFonts w:ascii="Arial" w:hAnsi="Arial" w:cs="Arial"/>
          <w:vanish/>
          <w:color w:val="888888"/>
          <w:sz w:val="24"/>
          <w:szCs w:val="24"/>
          <w:lang w:val="sk-SK" w:eastAsia="sk-SK"/>
        </w:rPr>
        <w:t>-Čína</w:t>
      </w:r>
    </w:p>
    <w:p w14:paraId="59EC813A"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5" w:history="1">
        <w:r w:rsidR="007E186D" w:rsidRPr="007E186D">
          <w:rPr>
            <w:rFonts w:ascii="Arial" w:hAnsi="Arial" w:cs="Arial"/>
            <w:vanish/>
            <w:color w:val="4272DB"/>
            <w:sz w:val="24"/>
            <w:szCs w:val="24"/>
            <w:lang w:val="sk-SK" w:eastAsia="sk-SK"/>
          </w:rPr>
          <w:t>L'Express</w:t>
        </w:r>
      </w:hyperlink>
      <w:r w:rsidR="007E186D" w:rsidRPr="007E186D">
        <w:rPr>
          <w:rFonts w:ascii="Arial" w:hAnsi="Arial" w:cs="Arial"/>
          <w:vanish/>
          <w:color w:val="888888"/>
          <w:sz w:val="24"/>
          <w:szCs w:val="24"/>
          <w:lang w:val="sk-SK" w:eastAsia="sk-SK"/>
        </w:rPr>
        <w:t>-Francúzsko</w:t>
      </w:r>
    </w:p>
    <w:p w14:paraId="61267180"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6" w:history="1">
        <w:r w:rsidR="007E186D" w:rsidRPr="007E186D">
          <w:rPr>
            <w:rFonts w:ascii="Arial" w:hAnsi="Arial" w:cs="Arial"/>
            <w:vanish/>
            <w:color w:val="4272DB"/>
            <w:sz w:val="24"/>
            <w:szCs w:val="24"/>
            <w:lang w:val="sk-SK" w:eastAsia="sk-SK"/>
          </w:rPr>
          <w:t>La Información</w:t>
        </w:r>
      </w:hyperlink>
      <w:r w:rsidR="007E186D" w:rsidRPr="007E186D">
        <w:rPr>
          <w:rFonts w:ascii="Arial" w:hAnsi="Arial" w:cs="Arial"/>
          <w:vanish/>
          <w:color w:val="888888"/>
          <w:sz w:val="24"/>
          <w:szCs w:val="24"/>
          <w:lang w:val="sk-SK" w:eastAsia="sk-SK"/>
        </w:rPr>
        <w:t>-Španielsko</w:t>
      </w:r>
    </w:p>
    <w:p w14:paraId="1ADD16C4"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7" w:history="1">
        <w:r w:rsidR="007E186D" w:rsidRPr="007E186D">
          <w:rPr>
            <w:rFonts w:ascii="Arial" w:hAnsi="Arial" w:cs="Arial"/>
            <w:vanish/>
            <w:color w:val="4272DB"/>
            <w:sz w:val="24"/>
            <w:szCs w:val="24"/>
            <w:lang w:val="sk-SK" w:eastAsia="sk-SK"/>
          </w:rPr>
          <w:t>Guardian.co.uk</w:t>
        </w:r>
      </w:hyperlink>
      <w:r w:rsidR="007E186D" w:rsidRPr="007E186D">
        <w:rPr>
          <w:rFonts w:ascii="Arial" w:hAnsi="Arial" w:cs="Arial"/>
          <w:vanish/>
          <w:color w:val="888888"/>
          <w:sz w:val="24"/>
          <w:szCs w:val="24"/>
          <w:lang w:val="sk-SK" w:eastAsia="sk-SK"/>
        </w:rPr>
        <w:t>-Spojené kráľovstvo</w:t>
      </w:r>
    </w:p>
    <w:p w14:paraId="2EBF19D2"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8" w:history="1">
        <w:r w:rsidR="007E186D" w:rsidRPr="007E186D">
          <w:rPr>
            <w:rFonts w:ascii="Arial" w:hAnsi="Arial" w:cs="Arial"/>
            <w:vanish/>
            <w:color w:val="4272DB"/>
            <w:sz w:val="24"/>
            <w:szCs w:val="24"/>
            <w:lang w:val="sk-SK" w:eastAsia="sk-SK"/>
          </w:rPr>
          <w:t>Zeit Online</w:t>
        </w:r>
      </w:hyperlink>
      <w:r w:rsidR="007E186D" w:rsidRPr="007E186D">
        <w:rPr>
          <w:rFonts w:ascii="Arial" w:hAnsi="Arial" w:cs="Arial"/>
          <w:vanish/>
          <w:color w:val="888888"/>
          <w:sz w:val="24"/>
          <w:szCs w:val="24"/>
          <w:lang w:val="sk-SK" w:eastAsia="sk-SK"/>
        </w:rPr>
        <w:t>-Nemecko</w:t>
      </w:r>
    </w:p>
    <w:p w14:paraId="744E651A"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19" w:history="1">
        <w:r w:rsidR="007E186D" w:rsidRPr="007E186D">
          <w:rPr>
            <w:rFonts w:ascii="Arial" w:hAnsi="Arial" w:cs="Arial"/>
            <w:vanish/>
            <w:color w:val="4272DB"/>
            <w:sz w:val="24"/>
            <w:szCs w:val="24"/>
            <w:lang w:val="sk-SK" w:eastAsia="sk-SK"/>
          </w:rPr>
          <w:t>Bild.de</w:t>
        </w:r>
      </w:hyperlink>
      <w:r w:rsidR="007E186D" w:rsidRPr="007E186D">
        <w:rPr>
          <w:rFonts w:ascii="Arial" w:hAnsi="Arial" w:cs="Arial"/>
          <w:vanish/>
          <w:color w:val="888888"/>
          <w:sz w:val="24"/>
          <w:szCs w:val="24"/>
          <w:lang w:val="sk-SK" w:eastAsia="sk-SK"/>
        </w:rPr>
        <w:t>-Nemecko</w:t>
      </w:r>
    </w:p>
    <w:p w14:paraId="7E899226"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20" w:history="1">
        <w:r w:rsidR="007E186D" w:rsidRPr="007E186D">
          <w:rPr>
            <w:rFonts w:ascii="Arial" w:hAnsi="Arial" w:cs="Arial"/>
            <w:vanish/>
            <w:color w:val="4272DB"/>
            <w:sz w:val="24"/>
            <w:szCs w:val="24"/>
            <w:lang w:val="sk-SK" w:eastAsia="sk-SK"/>
          </w:rPr>
          <w:t>Berlingske.dk</w:t>
        </w:r>
      </w:hyperlink>
      <w:r w:rsidR="007E186D" w:rsidRPr="007E186D">
        <w:rPr>
          <w:rFonts w:ascii="Arial" w:hAnsi="Arial" w:cs="Arial"/>
          <w:vanish/>
          <w:color w:val="888888"/>
          <w:sz w:val="24"/>
          <w:szCs w:val="24"/>
          <w:lang w:val="sk-SK" w:eastAsia="sk-SK"/>
        </w:rPr>
        <w:t>-Dánsko</w:t>
      </w:r>
    </w:p>
    <w:p w14:paraId="7EB8B7CF"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21" w:history="1">
        <w:r w:rsidR="007E186D" w:rsidRPr="007E186D">
          <w:rPr>
            <w:rFonts w:ascii="Arial" w:hAnsi="Arial" w:cs="Arial"/>
            <w:vanish/>
            <w:color w:val="4272DB"/>
            <w:sz w:val="24"/>
            <w:szCs w:val="24"/>
            <w:lang w:val="sk-SK" w:eastAsia="sk-SK"/>
          </w:rPr>
          <w:t>OneIndia</w:t>
        </w:r>
      </w:hyperlink>
      <w:r w:rsidR="007E186D" w:rsidRPr="007E186D">
        <w:rPr>
          <w:rFonts w:ascii="Arial" w:hAnsi="Arial" w:cs="Arial"/>
          <w:vanish/>
          <w:color w:val="888888"/>
          <w:sz w:val="24"/>
          <w:szCs w:val="24"/>
          <w:lang w:val="sk-SK" w:eastAsia="sk-SK"/>
        </w:rPr>
        <w:t>-hindčina</w:t>
      </w:r>
    </w:p>
    <w:p w14:paraId="0F7071B8" w14:textId="77777777" w:rsidR="007E186D" w:rsidRPr="007E186D" w:rsidRDefault="00532ED5" w:rsidP="007E186D">
      <w:pPr>
        <w:numPr>
          <w:ilvl w:val="0"/>
          <w:numId w:val="3"/>
        </w:numPr>
        <w:tabs>
          <w:tab w:val="clear" w:pos="567"/>
        </w:tabs>
        <w:spacing w:before="100" w:beforeAutospacing="1" w:after="120" w:line="240" w:lineRule="auto"/>
        <w:ind w:right="360"/>
        <w:textAlignment w:val="top"/>
        <w:rPr>
          <w:rFonts w:ascii="Arial" w:hAnsi="Arial" w:cs="Arial"/>
          <w:vanish/>
          <w:color w:val="888888"/>
          <w:sz w:val="24"/>
          <w:szCs w:val="24"/>
          <w:lang w:val="sk-SK" w:eastAsia="sk-SK"/>
        </w:rPr>
      </w:pPr>
      <w:hyperlink r:id="rId22" w:history="1">
        <w:r w:rsidR="007E186D" w:rsidRPr="007E186D">
          <w:rPr>
            <w:rFonts w:ascii="Arial" w:hAnsi="Arial" w:cs="Arial"/>
            <w:vanish/>
            <w:color w:val="4272DB"/>
            <w:sz w:val="24"/>
            <w:szCs w:val="24"/>
            <w:lang w:val="sk-SK" w:eastAsia="sk-SK"/>
          </w:rPr>
          <w:t>News.de</w:t>
        </w:r>
      </w:hyperlink>
      <w:r w:rsidR="007E186D" w:rsidRPr="007E186D">
        <w:rPr>
          <w:rFonts w:ascii="Arial" w:hAnsi="Arial" w:cs="Arial"/>
          <w:vanish/>
          <w:color w:val="888888"/>
          <w:sz w:val="24"/>
          <w:szCs w:val="24"/>
          <w:lang w:val="sk-SK" w:eastAsia="sk-SK"/>
        </w:rPr>
        <w:t>-Nemecko</w:t>
      </w:r>
    </w:p>
    <w:p w14:paraId="67C75A83" w14:textId="77777777" w:rsidR="007E186D" w:rsidRPr="007E186D" w:rsidRDefault="007E186D" w:rsidP="007E186D">
      <w:pPr>
        <w:tabs>
          <w:tab w:val="clear" w:pos="567"/>
        </w:tabs>
        <w:spacing w:line="240" w:lineRule="auto"/>
        <w:ind w:left="567" w:hanging="567"/>
        <w:jc w:val="both"/>
        <w:rPr>
          <w:szCs w:val="22"/>
          <w:lang w:val="sk-SK"/>
        </w:rPr>
      </w:pPr>
    </w:p>
    <w:p w14:paraId="52C742AC" w14:textId="77777777" w:rsidR="007F512D" w:rsidRPr="00B41D57" w:rsidRDefault="007F512D" w:rsidP="007F512D">
      <w:pPr>
        <w:tabs>
          <w:tab w:val="clear" w:pos="567"/>
        </w:tabs>
        <w:spacing w:line="240" w:lineRule="auto"/>
        <w:rPr>
          <w:iCs/>
          <w:szCs w:val="22"/>
        </w:rPr>
      </w:pPr>
    </w:p>
    <w:p w14:paraId="415594EE" w14:textId="77777777" w:rsidR="007F512D" w:rsidRPr="00B41D57" w:rsidRDefault="007F512D" w:rsidP="007F512D">
      <w:pPr>
        <w:tabs>
          <w:tab w:val="clear" w:pos="567"/>
        </w:tabs>
        <w:spacing w:line="240" w:lineRule="auto"/>
        <w:rPr>
          <w:iCs/>
          <w:szCs w:val="22"/>
        </w:rPr>
      </w:pPr>
    </w:p>
    <w:p w14:paraId="0B3F3D24" w14:textId="77777777" w:rsidR="007F512D" w:rsidRPr="00B41D57" w:rsidRDefault="007F512D" w:rsidP="007F512D">
      <w:pPr>
        <w:pStyle w:val="Style1"/>
      </w:pPr>
      <w:bookmarkStart w:id="19" w:name="_Hlk127278575"/>
      <w:r w:rsidRPr="00B41D57">
        <w:rPr>
          <w:highlight w:val="lightGray"/>
        </w:rPr>
        <w:t>10.</w:t>
      </w:r>
      <w:r w:rsidRPr="00B41D57">
        <w:tab/>
        <w:t>Ochranné lhůty</w:t>
      </w:r>
    </w:p>
    <w:bookmarkEnd w:id="19"/>
    <w:p w14:paraId="141936EB" w14:textId="77777777" w:rsidR="007F512D" w:rsidRPr="00B41D57" w:rsidRDefault="007F512D" w:rsidP="007F512D">
      <w:pPr>
        <w:tabs>
          <w:tab w:val="clear" w:pos="567"/>
        </w:tabs>
        <w:spacing w:line="240" w:lineRule="auto"/>
        <w:rPr>
          <w:iCs/>
          <w:szCs w:val="22"/>
        </w:rPr>
      </w:pPr>
    </w:p>
    <w:p w14:paraId="7A2FB2C1" w14:textId="77777777" w:rsidR="007E186D" w:rsidRPr="007E186D" w:rsidRDefault="007E186D" w:rsidP="007E186D">
      <w:pPr>
        <w:tabs>
          <w:tab w:val="clear" w:pos="567"/>
        </w:tabs>
        <w:spacing w:line="240" w:lineRule="auto"/>
        <w:textAlignment w:val="top"/>
        <w:rPr>
          <w:b/>
          <w:bCs/>
          <w:color w:val="000000"/>
          <w:szCs w:val="22"/>
          <w:lang w:eastAsia="sk-SK"/>
        </w:rPr>
      </w:pPr>
      <w:r w:rsidRPr="007E186D">
        <w:rPr>
          <w:b/>
          <w:bCs/>
          <w:color w:val="000000"/>
          <w:szCs w:val="22"/>
          <w:lang w:eastAsia="sk-SK"/>
        </w:rPr>
        <w:t>Skot:</w:t>
      </w:r>
    </w:p>
    <w:p w14:paraId="12E993D9"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Maso: 8 dnů</w:t>
      </w:r>
    </w:p>
    <w:p w14:paraId="25D99784" w14:textId="77777777" w:rsidR="007E186D" w:rsidRP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Mléko: Bez ochranných lhůt.</w:t>
      </w:r>
    </w:p>
    <w:p w14:paraId="279678D3" w14:textId="77777777" w:rsidR="007E186D" w:rsidRPr="007E186D" w:rsidRDefault="007E186D" w:rsidP="007E186D">
      <w:pPr>
        <w:tabs>
          <w:tab w:val="clear" w:pos="567"/>
        </w:tabs>
        <w:spacing w:line="240" w:lineRule="auto"/>
        <w:textAlignment w:val="top"/>
        <w:rPr>
          <w:b/>
          <w:bCs/>
          <w:color w:val="000000"/>
          <w:szCs w:val="22"/>
          <w:lang w:eastAsia="sk-SK"/>
        </w:rPr>
      </w:pPr>
      <w:r w:rsidRPr="007E186D">
        <w:rPr>
          <w:b/>
          <w:bCs/>
          <w:color w:val="000000"/>
          <w:szCs w:val="22"/>
          <w:lang w:eastAsia="sk-SK"/>
        </w:rPr>
        <w:t>Prasata:</w:t>
      </w:r>
    </w:p>
    <w:p w14:paraId="52A5F045" w14:textId="77777777" w:rsidR="007E186D" w:rsidRPr="007E186D" w:rsidRDefault="007E186D" w:rsidP="007E186D">
      <w:pPr>
        <w:tabs>
          <w:tab w:val="clear" w:pos="567"/>
        </w:tabs>
        <w:spacing w:line="240" w:lineRule="auto"/>
        <w:textAlignment w:val="top"/>
        <w:rPr>
          <w:color w:val="888888"/>
          <w:szCs w:val="22"/>
          <w:lang w:eastAsia="sk-SK"/>
        </w:rPr>
      </w:pPr>
      <w:r w:rsidRPr="007E186D">
        <w:rPr>
          <w:color w:val="000000"/>
          <w:szCs w:val="22"/>
          <w:lang w:eastAsia="sk-SK"/>
        </w:rPr>
        <w:t>Maso: 5 dnů</w:t>
      </w:r>
    </w:p>
    <w:p w14:paraId="265C88A0" w14:textId="77777777" w:rsidR="007F512D" w:rsidRDefault="007F512D" w:rsidP="007F512D">
      <w:pPr>
        <w:tabs>
          <w:tab w:val="clear" w:pos="567"/>
        </w:tabs>
        <w:spacing w:line="240" w:lineRule="auto"/>
        <w:rPr>
          <w:iCs/>
          <w:szCs w:val="22"/>
        </w:rPr>
      </w:pPr>
    </w:p>
    <w:p w14:paraId="18AAF8BA" w14:textId="77777777" w:rsidR="007E186D" w:rsidRPr="00B41D57" w:rsidRDefault="007E186D" w:rsidP="007F512D">
      <w:pPr>
        <w:tabs>
          <w:tab w:val="clear" w:pos="567"/>
        </w:tabs>
        <w:spacing w:line="240" w:lineRule="auto"/>
        <w:rPr>
          <w:iCs/>
          <w:szCs w:val="22"/>
        </w:rPr>
      </w:pPr>
    </w:p>
    <w:p w14:paraId="46F21EE4" w14:textId="77777777" w:rsidR="007F512D" w:rsidRPr="00B41D57" w:rsidRDefault="007F512D" w:rsidP="007F512D">
      <w:pPr>
        <w:pStyle w:val="Style1"/>
      </w:pPr>
      <w:bookmarkStart w:id="20" w:name="_Hlk127278587"/>
      <w:r w:rsidRPr="00B41D57">
        <w:rPr>
          <w:highlight w:val="lightGray"/>
        </w:rPr>
        <w:t>11.</w:t>
      </w:r>
      <w:r w:rsidRPr="00B41D57">
        <w:tab/>
        <w:t>Zvláštní opatření pro uchovávání</w:t>
      </w:r>
    </w:p>
    <w:bookmarkEnd w:id="20"/>
    <w:p w14:paraId="5197F694" w14:textId="77777777" w:rsidR="007F512D" w:rsidRPr="00B41D57" w:rsidRDefault="007F512D" w:rsidP="007F512D">
      <w:pPr>
        <w:numPr>
          <w:ilvl w:val="12"/>
          <w:numId w:val="0"/>
        </w:numPr>
        <w:tabs>
          <w:tab w:val="clear" w:pos="567"/>
        </w:tabs>
        <w:spacing w:line="240" w:lineRule="auto"/>
        <w:rPr>
          <w:szCs w:val="22"/>
        </w:rPr>
      </w:pPr>
    </w:p>
    <w:p w14:paraId="4DDB7F3B" w14:textId="77777777" w:rsidR="007F512D" w:rsidRPr="00B41D57" w:rsidRDefault="007F512D" w:rsidP="007F512D">
      <w:pPr>
        <w:numPr>
          <w:ilvl w:val="12"/>
          <w:numId w:val="0"/>
        </w:numPr>
        <w:tabs>
          <w:tab w:val="clear" w:pos="567"/>
        </w:tabs>
        <w:spacing w:line="240" w:lineRule="auto"/>
        <w:rPr>
          <w:szCs w:val="22"/>
        </w:rPr>
      </w:pPr>
      <w:r w:rsidRPr="00B41D57">
        <w:t>Uchovávejte mimo dohled a dosah dětí.</w:t>
      </w:r>
    </w:p>
    <w:p w14:paraId="3B0030D0" w14:textId="77777777" w:rsidR="007E186D" w:rsidRDefault="007E186D" w:rsidP="007E186D">
      <w:pPr>
        <w:tabs>
          <w:tab w:val="clear" w:pos="567"/>
        </w:tabs>
        <w:spacing w:line="240" w:lineRule="auto"/>
        <w:textAlignment w:val="top"/>
        <w:rPr>
          <w:color w:val="000000"/>
          <w:szCs w:val="22"/>
          <w:lang w:eastAsia="sk-SK"/>
        </w:rPr>
      </w:pPr>
      <w:r w:rsidRPr="007E186D">
        <w:rPr>
          <w:color w:val="000000"/>
          <w:szCs w:val="22"/>
          <w:lang w:eastAsia="sk-SK"/>
        </w:rPr>
        <w:t>Uchovávejte injekční lahvičku v krabičce, aby byla chráněna před světlem.</w:t>
      </w:r>
    </w:p>
    <w:p w14:paraId="39A33B04" w14:textId="77777777" w:rsidR="007E186D" w:rsidRPr="007E186D" w:rsidRDefault="007E186D" w:rsidP="007E186D">
      <w:pPr>
        <w:tabs>
          <w:tab w:val="clear" w:pos="567"/>
        </w:tabs>
        <w:spacing w:line="240" w:lineRule="auto"/>
        <w:textAlignment w:val="top"/>
        <w:rPr>
          <w:color w:val="888888"/>
          <w:szCs w:val="22"/>
          <w:lang w:eastAsia="sk-SK"/>
        </w:rPr>
      </w:pPr>
      <w:r w:rsidRPr="007E186D">
        <w:rPr>
          <w:color w:val="000000"/>
          <w:szCs w:val="22"/>
          <w:lang w:eastAsia="sk-SK"/>
        </w:rPr>
        <w:t>Doba použitelnosti po prvním otevření vnitřního obalu: 28 dní.</w:t>
      </w:r>
    </w:p>
    <w:p w14:paraId="15B3FC08" w14:textId="5C3A5347" w:rsidR="007E186D" w:rsidRDefault="007E186D" w:rsidP="007E186D">
      <w:pPr>
        <w:tabs>
          <w:tab w:val="clear" w:pos="567"/>
        </w:tabs>
        <w:spacing w:line="240" w:lineRule="auto"/>
        <w:textAlignment w:val="top"/>
        <w:rPr>
          <w:color w:val="888888"/>
          <w:szCs w:val="22"/>
          <w:lang w:eastAsia="sk-SK"/>
        </w:rPr>
      </w:pPr>
      <w:r w:rsidRPr="00B41D57">
        <w:t xml:space="preserve">Nepoužívejte tento veterinární léčivý přípravek po uplynutí doby použitelnosti uvedené na </w:t>
      </w:r>
      <w:r>
        <w:t>k</w:t>
      </w:r>
      <w:r w:rsidRPr="00B41D57">
        <w:t>rabičce</w:t>
      </w:r>
      <w:r w:rsidRPr="007E186D">
        <w:t xml:space="preserve"> </w:t>
      </w:r>
      <w:r w:rsidRPr="00B41D57">
        <w:t>po E</w:t>
      </w:r>
      <w:r>
        <w:t xml:space="preserve">xp. </w:t>
      </w:r>
      <w:r w:rsidRPr="00B41D57">
        <w:t>Doba použitelnosti končí posledním dnem v uvedeném měsíci.</w:t>
      </w:r>
    </w:p>
    <w:p w14:paraId="3657232E" w14:textId="77777777" w:rsidR="007F512D" w:rsidRPr="00B41D57" w:rsidRDefault="007F512D" w:rsidP="007F512D">
      <w:pPr>
        <w:tabs>
          <w:tab w:val="clear" w:pos="567"/>
        </w:tabs>
        <w:spacing w:line="240" w:lineRule="auto"/>
        <w:rPr>
          <w:szCs w:val="22"/>
        </w:rPr>
      </w:pPr>
    </w:p>
    <w:p w14:paraId="47ED6597" w14:textId="77777777" w:rsidR="007F512D" w:rsidRPr="00B41D57" w:rsidRDefault="007F512D" w:rsidP="007F512D">
      <w:pPr>
        <w:tabs>
          <w:tab w:val="clear" w:pos="567"/>
        </w:tabs>
        <w:spacing w:line="240" w:lineRule="auto"/>
        <w:rPr>
          <w:szCs w:val="22"/>
        </w:rPr>
      </w:pPr>
    </w:p>
    <w:p w14:paraId="795F2F70" w14:textId="77777777" w:rsidR="007F512D" w:rsidRPr="00B41D57" w:rsidRDefault="007F512D" w:rsidP="00C26C57">
      <w:pPr>
        <w:pStyle w:val="Style1"/>
        <w:keepNext/>
      </w:pPr>
      <w:bookmarkStart w:id="21" w:name="_Hlk127278598"/>
      <w:r w:rsidRPr="00B41D57">
        <w:rPr>
          <w:highlight w:val="lightGray"/>
        </w:rPr>
        <w:t>12.</w:t>
      </w:r>
      <w:r w:rsidRPr="00B41D57">
        <w:tab/>
        <w:t>Zvláštní opatření pro likvidaci</w:t>
      </w:r>
    </w:p>
    <w:bookmarkEnd w:id="21"/>
    <w:p w14:paraId="53ABD6DE" w14:textId="77777777" w:rsidR="007F512D" w:rsidRPr="00B41D57" w:rsidRDefault="007F512D" w:rsidP="00C26C57">
      <w:pPr>
        <w:keepNext/>
        <w:tabs>
          <w:tab w:val="clear" w:pos="567"/>
        </w:tabs>
        <w:spacing w:line="240" w:lineRule="auto"/>
        <w:rPr>
          <w:szCs w:val="22"/>
        </w:rPr>
      </w:pPr>
    </w:p>
    <w:p w14:paraId="4AEBE059" w14:textId="6075D067" w:rsidR="00D84A19" w:rsidRPr="00B41D57" w:rsidRDefault="00D84A19" w:rsidP="00D84A19">
      <w:pPr>
        <w:tabs>
          <w:tab w:val="clear" w:pos="567"/>
        </w:tabs>
        <w:spacing w:line="240" w:lineRule="auto"/>
        <w:rPr>
          <w:szCs w:val="22"/>
        </w:rPr>
      </w:pPr>
      <w:bookmarkStart w:id="22" w:name="_Hlk127278608"/>
      <w:r w:rsidRPr="00B41D57">
        <w:t>Léčivé přípravky se nesmí likvidovat prostřednictvím odpadní vody či domovního odpadu.</w:t>
      </w:r>
    </w:p>
    <w:bookmarkEnd w:id="22"/>
    <w:p w14:paraId="560A8A67" w14:textId="77777777" w:rsidR="00D84A19" w:rsidRPr="00B41D57" w:rsidRDefault="00D84A19" w:rsidP="00D84A19">
      <w:pPr>
        <w:tabs>
          <w:tab w:val="clear" w:pos="567"/>
        </w:tabs>
        <w:spacing w:line="240" w:lineRule="auto"/>
        <w:rPr>
          <w:szCs w:val="22"/>
        </w:rPr>
      </w:pPr>
    </w:p>
    <w:p w14:paraId="6D6C639D" w14:textId="77777777" w:rsidR="00D84A19" w:rsidRPr="00B41D57" w:rsidRDefault="00D84A19" w:rsidP="00D84A19">
      <w:pPr>
        <w:rPr>
          <w:szCs w:val="22"/>
        </w:rPr>
      </w:pPr>
      <w:bookmarkStart w:id="23" w:name="_Hlk127278625"/>
      <w:bookmarkStart w:id="24" w:name="_Hlk161521153"/>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bookmarkEnd w:id="23"/>
    <w:p w14:paraId="723661D6" w14:textId="77777777" w:rsidR="00D84A19" w:rsidRPr="00B41D57" w:rsidRDefault="00D84A19" w:rsidP="00D84A19">
      <w:pPr>
        <w:tabs>
          <w:tab w:val="clear" w:pos="567"/>
        </w:tabs>
        <w:spacing w:line="240" w:lineRule="auto"/>
        <w:rPr>
          <w:szCs w:val="22"/>
        </w:rPr>
      </w:pPr>
    </w:p>
    <w:p w14:paraId="2B544CD9" w14:textId="77777777" w:rsidR="00D84A19" w:rsidRPr="00B41D57" w:rsidRDefault="00D84A19" w:rsidP="00D84A19">
      <w:pPr>
        <w:tabs>
          <w:tab w:val="clear" w:pos="567"/>
        </w:tabs>
        <w:spacing w:line="240" w:lineRule="auto"/>
        <w:rPr>
          <w:szCs w:val="22"/>
        </w:rPr>
      </w:pPr>
      <w:bookmarkStart w:id="25" w:name="_Hlk127346742"/>
      <w:r w:rsidRPr="00B41D57">
        <w:t>O možnostech likvidace nepotřebných léčivých přípravků se poraďte s vaším veterinárním lékařem</w:t>
      </w:r>
      <w:r>
        <w:t xml:space="preserve"> </w:t>
      </w:r>
      <w:r w:rsidRPr="00B41D57">
        <w:t>nebo lékárníkem</w:t>
      </w:r>
      <w:bookmarkEnd w:id="25"/>
      <w:r w:rsidRPr="00B41D57">
        <w:t>.</w:t>
      </w:r>
      <w:bookmarkEnd w:id="24"/>
    </w:p>
    <w:p w14:paraId="2F817097" w14:textId="77777777" w:rsidR="007F512D" w:rsidRPr="00B41D57" w:rsidRDefault="007F512D" w:rsidP="007F512D">
      <w:pPr>
        <w:tabs>
          <w:tab w:val="clear" w:pos="567"/>
        </w:tabs>
        <w:spacing w:line="240" w:lineRule="auto"/>
        <w:rPr>
          <w:bCs/>
          <w:szCs w:val="22"/>
          <w:highlight w:val="lightGray"/>
        </w:rPr>
      </w:pPr>
    </w:p>
    <w:p w14:paraId="13C91531" w14:textId="77777777" w:rsidR="007F512D" w:rsidRPr="00B41D57" w:rsidRDefault="007F512D" w:rsidP="007F512D">
      <w:pPr>
        <w:tabs>
          <w:tab w:val="clear" w:pos="567"/>
        </w:tabs>
        <w:spacing w:line="240" w:lineRule="auto"/>
        <w:rPr>
          <w:bCs/>
          <w:szCs w:val="22"/>
          <w:highlight w:val="lightGray"/>
        </w:rPr>
      </w:pPr>
    </w:p>
    <w:p w14:paraId="243EC574" w14:textId="77777777" w:rsidR="007F512D" w:rsidRPr="00B41D57" w:rsidRDefault="007F512D" w:rsidP="007F512D">
      <w:pPr>
        <w:pStyle w:val="Style1"/>
      </w:pPr>
      <w:bookmarkStart w:id="26" w:name="_Hlk127278636"/>
      <w:bookmarkStart w:id="27" w:name="_Hlk161521194"/>
      <w:r w:rsidRPr="00B41D57">
        <w:rPr>
          <w:highlight w:val="lightGray"/>
        </w:rPr>
        <w:t>13.</w:t>
      </w:r>
      <w:r w:rsidRPr="00B41D57">
        <w:tab/>
        <w:t>Klasifikace veterinárních léčivých přípravků</w:t>
      </w:r>
    </w:p>
    <w:bookmarkEnd w:id="26"/>
    <w:p w14:paraId="1729C604" w14:textId="77777777" w:rsidR="007F512D" w:rsidRPr="00B41D57" w:rsidRDefault="007F512D" w:rsidP="007F512D">
      <w:pPr>
        <w:tabs>
          <w:tab w:val="clear" w:pos="567"/>
        </w:tabs>
        <w:spacing w:line="240" w:lineRule="auto"/>
        <w:rPr>
          <w:szCs w:val="22"/>
        </w:rPr>
      </w:pPr>
    </w:p>
    <w:p w14:paraId="389E36E2" w14:textId="77777777" w:rsidR="007F512D" w:rsidRPr="00B41D57" w:rsidRDefault="007F512D" w:rsidP="007F512D">
      <w:pPr>
        <w:tabs>
          <w:tab w:val="clear" w:pos="567"/>
        </w:tabs>
        <w:spacing w:line="240" w:lineRule="auto"/>
        <w:rPr>
          <w:szCs w:val="22"/>
        </w:rPr>
      </w:pPr>
      <w:r w:rsidRPr="005C0DAC">
        <w:rPr>
          <w:szCs w:val="22"/>
        </w:rPr>
        <w:t>Veterinární léčivý přípravek je vydáván pouze na předpis.</w:t>
      </w:r>
    </w:p>
    <w:p w14:paraId="28AC551E" w14:textId="798BD943" w:rsidR="007F512D" w:rsidRDefault="007F512D" w:rsidP="007F512D">
      <w:pPr>
        <w:pStyle w:val="Style1"/>
        <w:rPr>
          <w:highlight w:val="lightGray"/>
        </w:rPr>
      </w:pPr>
      <w:bookmarkStart w:id="28" w:name="_Hlk127278644"/>
    </w:p>
    <w:p w14:paraId="051AD176" w14:textId="77777777" w:rsidR="00610DE7" w:rsidRDefault="00610DE7" w:rsidP="007F512D">
      <w:pPr>
        <w:pStyle w:val="Style1"/>
        <w:rPr>
          <w:highlight w:val="lightGray"/>
        </w:rPr>
      </w:pPr>
    </w:p>
    <w:p w14:paraId="764A31A4" w14:textId="77777777" w:rsidR="007F512D" w:rsidRPr="00B41D57" w:rsidRDefault="007F512D" w:rsidP="007F512D">
      <w:pPr>
        <w:pStyle w:val="Style1"/>
      </w:pPr>
      <w:r w:rsidRPr="00B41D57">
        <w:rPr>
          <w:highlight w:val="lightGray"/>
        </w:rPr>
        <w:t>14.</w:t>
      </w:r>
      <w:r w:rsidRPr="00B41D57">
        <w:tab/>
        <w:t>Registrační čísla a velikosti balení</w:t>
      </w:r>
    </w:p>
    <w:bookmarkEnd w:id="28"/>
    <w:p w14:paraId="175F674D" w14:textId="77777777" w:rsidR="007F512D" w:rsidRDefault="007F512D" w:rsidP="007F512D">
      <w:pPr>
        <w:tabs>
          <w:tab w:val="clear" w:pos="567"/>
        </w:tabs>
        <w:spacing w:line="240" w:lineRule="auto"/>
        <w:rPr>
          <w:szCs w:val="22"/>
        </w:rPr>
      </w:pPr>
    </w:p>
    <w:p w14:paraId="2F6B2B3B" w14:textId="3D6634A0" w:rsidR="005C0DAC" w:rsidRDefault="005C0DAC" w:rsidP="007F512D">
      <w:pPr>
        <w:tabs>
          <w:tab w:val="clear" w:pos="567"/>
        </w:tabs>
        <w:spacing w:line="240" w:lineRule="auto"/>
        <w:rPr>
          <w:caps/>
          <w:szCs w:val="22"/>
        </w:rPr>
      </w:pPr>
      <w:r w:rsidRPr="00DC0655">
        <w:rPr>
          <w:caps/>
          <w:szCs w:val="22"/>
        </w:rPr>
        <w:t>96/084/11-C</w:t>
      </w:r>
    </w:p>
    <w:p w14:paraId="47012B99" w14:textId="77777777" w:rsidR="005C0DAC" w:rsidRDefault="005C0DAC" w:rsidP="007F512D">
      <w:pPr>
        <w:tabs>
          <w:tab w:val="clear" w:pos="567"/>
        </w:tabs>
        <w:spacing w:line="240" w:lineRule="auto"/>
        <w:rPr>
          <w:caps/>
          <w:szCs w:val="22"/>
        </w:rPr>
      </w:pPr>
    </w:p>
    <w:p w14:paraId="15F3FA17" w14:textId="77777777" w:rsidR="005C0DAC" w:rsidRPr="005C0DAC" w:rsidRDefault="005C0DAC" w:rsidP="005C0DAC">
      <w:pPr>
        <w:tabs>
          <w:tab w:val="clear" w:pos="567"/>
        </w:tabs>
        <w:spacing w:line="240" w:lineRule="auto"/>
        <w:ind w:left="567" w:hanging="567"/>
        <w:rPr>
          <w:color w:val="000000"/>
          <w:szCs w:val="22"/>
          <w:lang w:eastAsia="sk-SK"/>
        </w:rPr>
      </w:pPr>
      <w:r w:rsidRPr="005C0DAC">
        <w:rPr>
          <w:color w:val="000000"/>
          <w:szCs w:val="22"/>
          <w:lang w:eastAsia="sk-SK"/>
        </w:rPr>
        <w:t>Velikosti balení:</w:t>
      </w:r>
    </w:p>
    <w:p w14:paraId="4BCDFB0D" w14:textId="77777777" w:rsidR="005C0DAC" w:rsidRPr="005C0DAC" w:rsidRDefault="005C0DAC" w:rsidP="005C0DAC">
      <w:pPr>
        <w:tabs>
          <w:tab w:val="clear" w:pos="567"/>
        </w:tabs>
        <w:spacing w:line="240" w:lineRule="auto"/>
        <w:ind w:left="567" w:hanging="567"/>
        <w:rPr>
          <w:color w:val="000000"/>
          <w:szCs w:val="22"/>
          <w:lang w:eastAsia="sk-SK"/>
        </w:rPr>
      </w:pPr>
      <w:r w:rsidRPr="005C0DAC">
        <w:rPr>
          <w:color w:val="000000"/>
          <w:szCs w:val="22"/>
          <w:lang w:eastAsia="sk-SK"/>
        </w:rPr>
        <w:t>Papírová skládačka obsahující jednu 100ml lahvičku.</w:t>
      </w:r>
    </w:p>
    <w:p w14:paraId="7AEDD0C5" w14:textId="3825127E" w:rsidR="005C0DAC" w:rsidRPr="00B41D57" w:rsidRDefault="005C0DAC" w:rsidP="005C0DAC">
      <w:pPr>
        <w:tabs>
          <w:tab w:val="clear" w:pos="567"/>
        </w:tabs>
        <w:spacing w:line="240" w:lineRule="auto"/>
        <w:rPr>
          <w:szCs w:val="22"/>
        </w:rPr>
      </w:pPr>
      <w:r w:rsidRPr="005C0DAC">
        <w:rPr>
          <w:color w:val="000000"/>
          <w:szCs w:val="22"/>
          <w:lang w:eastAsia="sk-SK"/>
        </w:rPr>
        <w:lastRenderedPageBreak/>
        <w:t>Papírová skládačka obsahující jednu 250ml lahvičku.</w:t>
      </w:r>
      <w:r w:rsidRPr="005C0DAC">
        <w:rPr>
          <w:color w:val="000000"/>
          <w:szCs w:val="22"/>
          <w:lang w:eastAsia="sk-SK"/>
        </w:rPr>
        <w:br/>
        <w:t>Papírová skládačka obsahující jednu 50ml lahvičku.</w:t>
      </w:r>
    </w:p>
    <w:p w14:paraId="10A99784" w14:textId="77777777" w:rsidR="005C0DAC" w:rsidRDefault="005C0DAC" w:rsidP="007F512D">
      <w:pPr>
        <w:tabs>
          <w:tab w:val="clear" w:pos="567"/>
        </w:tabs>
        <w:spacing w:line="240" w:lineRule="auto"/>
      </w:pPr>
    </w:p>
    <w:p w14:paraId="420ABF3A" w14:textId="5526590D" w:rsidR="007F512D" w:rsidRPr="00B41D57" w:rsidRDefault="007F512D" w:rsidP="007F512D">
      <w:pPr>
        <w:tabs>
          <w:tab w:val="clear" w:pos="567"/>
        </w:tabs>
        <w:spacing w:line="240" w:lineRule="auto"/>
        <w:rPr>
          <w:szCs w:val="22"/>
        </w:rPr>
      </w:pPr>
      <w:r w:rsidRPr="00B41D57">
        <w:t>Na trhu nemusí být všechny velikosti balení.</w:t>
      </w:r>
    </w:p>
    <w:p w14:paraId="3156EE23" w14:textId="77777777" w:rsidR="007F512D" w:rsidRPr="00B41D57" w:rsidRDefault="007F512D" w:rsidP="007F512D">
      <w:pPr>
        <w:tabs>
          <w:tab w:val="clear" w:pos="567"/>
        </w:tabs>
        <w:spacing w:line="240" w:lineRule="auto"/>
        <w:rPr>
          <w:szCs w:val="22"/>
        </w:rPr>
      </w:pPr>
    </w:p>
    <w:p w14:paraId="6EFA74ED" w14:textId="77777777" w:rsidR="007F512D" w:rsidRPr="00B41D57" w:rsidRDefault="007F512D" w:rsidP="007F512D">
      <w:pPr>
        <w:tabs>
          <w:tab w:val="clear" w:pos="567"/>
        </w:tabs>
        <w:spacing w:line="240" w:lineRule="auto"/>
        <w:rPr>
          <w:szCs w:val="22"/>
        </w:rPr>
      </w:pPr>
    </w:p>
    <w:p w14:paraId="19649B7D" w14:textId="77777777" w:rsidR="007F512D" w:rsidRPr="00B41D57" w:rsidRDefault="007F512D" w:rsidP="007F512D">
      <w:pPr>
        <w:pStyle w:val="Style1"/>
      </w:pPr>
      <w:bookmarkStart w:id="29" w:name="_Hlk127278656"/>
      <w:r w:rsidRPr="00B41D57">
        <w:rPr>
          <w:highlight w:val="lightGray"/>
        </w:rPr>
        <w:t>15.</w:t>
      </w:r>
      <w:r w:rsidRPr="00B41D57">
        <w:tab/>
        <w:t>Datum poslední revize příbalové informace</w:t>
      </w:r>
    </w:p>
    <w:bookmarkEnd w:id="27"/>
    <w:bookmarkEnd w:id="29"/>
    <w:p w14:paraId="43ADD9C2" w14:textId="77777777" w:rsidR="007F512D" w:rsidRPr="00B41D57" w:rsidRDefault="007F512D" w:rsidP="007F512D">
      <w:pPr>
        <w:tabs>
          <w:tab w:val="clear" w:pos="567"/>
        </w:tabs>
        <w:spacing w:line="240" w:lineRule="auto"/>
        <w:rPr>
          <w:szCs w:val="22"/>
        </w:rPr>
      </w:pPr>
    </w:p>
    <w:p w14:paraId="7F87CF06" w14:textId="26477636" w:rsidR="007F512D" w:rsidRPr="00B41D57" w:rsidRDefault="009E5E4E" w:rsidP="007F512D">
      <w:pPr>
        <w:rPr>
          <w:szCs w:val="22"/>
        </w:rPr>
      </w:pPr>
      <w:r>
        <w:t>Květen 2025</w:t>
      </w:r>
    </w:p>
    <w:p w14:paraId="72D1173E" w14:textId="77777777" w:rsidR="007F512D" w:rsidRPr="00B41D57" w:rsidRDefault="007F512D" w:rsidP="007F512D">
      <w:pPr>
        <w:tabs>
          <w:tab w:val="clear" w:pos="567"/>
        </w:tabs>
        <w:spacing w:line="240" w:lineRule="auto"/>
        <w:rPr>
          <w:szCs w:val="22"/>
        </w:rPr>
      </w:pPr>
    </w:p>
    <w:p w14:paraId="5A758D13" w14:textId="77777777" w:rsidR="007F512D" w:rsidRDefault="007F512D" w:rsidP="007F512D">
      <w:pPr>
        <w:tabs>
          <w:tab w:val="clear" w:pos="567"/>
        </w:tabs>
        <w:spacing w:line="240" w:lineRule="auto"/>
        <w:rPr>
          <w:szCs w:val="22"/>
        </w:rPr>
      </w:pPr>
      <w:bookmarkStart w:id="30" w:name="_Hlk127278666"/>
      <w:r w:rsidRPr="00B41D57">
        <w:t>Podrobné informace o tomto veterinárním léčivém přípravku jsou k dispozici v databázi přípravků Unie</w:t>
      </w:r>
      <w:r>
        <w:t xml:space="preserve"> </w:t>
      </w:r>
      <w:r>
        <w:rPr>
          <w:szCs w:val="22"/>
        </w:rPr>
        <w:t>(</w:t>
      </w:r>
      <w:hyperlink r:id="rId23" w:history="1">
        <w:r w:rsidRPr="001D6052">
          <w:rPr>
            <w:rStyle w:val="Hypertextovodkaz"/>
            <w:szCs w:val="22"/>
          </w:rPr>
          <w:t>https://medicines.health.europa.eu/veterinary</w:t>
        </w:r>
      </w:hyperlink>
      <w:r>
        <w:rPr>
          <w:szCs w:val="22"/>
        </w:rPr>
        <w:t>)</w:t>
      </w:r>
      <w:r w:rsidRPr="004620A4">
        <w:rPr>
          <w:szCs w:val="22"/>
        </w:rPr>
        <w:t>.</w:t>
      </w:r>
    </w:p>
    <w:p w14:paraId="6AB1ECF0" w14:textId="77777777" w:rsidR="007F512D" w:rsidRDefault="007F512D" w:rsidP="007F512D">
      <w:pPr>
        <w:tabs>
          <w:tab w:val="clear" w:pos="567"/>
        </w:tabs>
        <w:spacing w:line="240" w:lineRule="auto"/>
        <w:rPr>
          <w:szCs w:val="22"/>
        </w:rPr>
      </w:pPr>
    </w:p>
    <w:p w14:paraId="52D13138" w14:textId="1A347007" w:rsidR="009E5E4E" w:rsidRDefault="007F512D" w:rsidP="007F512D">
      <w:pPr>
        <w:tabs>
          <w:tab w:val="clear" w:pos="567"/>
        </w:tabs>
        <w:spacing w:line="240" w:lineRule="auto"/>
        <w:rPr>
          <w:szCs w:val="22"/>
        </w:rPr>
      </w:pPr>
      <w:r w:rsidRPr="005C0DAC">
        <w:rPr>
          <w:szCs w:val="22"/>
        </w:rPr>
        <w:t>Podrobné informace o tomto veterinárním léčivém přípravku naleznete také v národní databázi (</w:t>
      </w:r>
      <w:hyperlink r:id="rId24" w:history="1">
        <w:r w:rsidR="009E5E4E" w:rsidRPr="00591FEC">
          <w:rPr>
            <w:rStyle w:val="Hypertextovodkaz"/>
            <w:szCs w:val="22"/>
          </w:rPr>
          <w:t>https://www.uskvbl.cz</w:t>
        </w:r>
      </w:hyperlink>
      <w:r w:rsidR="009E5E4E">
        <w:rPr>
          <w:szCs w:val="22"/>
        </w:rPr>
        <w:t>).</w:t>
      </w:r>
      <w:bookmarkStart w:id="31" w:name="_GoBack"/>
      <w:bookmarkEnd w:id="31"/>
    </w:p>
    <w:p w14:paraId="46DBA7A0" w14:textId="50B043BF" w:rsidR="007F512D" w:rsidRPr="006414D3" w:rsidRDefault="007F512D" w:rsidP="007F512D">
      <w:pPr>
        <w:tabs>
          <w:tab w:val="clear" w:pos="567"/>
        </w:tabs>
        <w:spacing w:line="240" w:lineRule="auto"/>
        <w:rPr>
          <w:szCs w:val="22"/>
        </w:rPr>
      </w:pPr>
    </w:p>
    <w:bookmarkEnd w:id="30"/>
    <w:p w14:paraId="73BA894D" w14:textId="77777777" w:rsidR="007F512D" w:rsidRPr="00B41D57" w:rsidRDefault="007F512D" w:rsidP="007F512D">
      <w:pPr>
        <w:tabs>
          <w:tab w:val="clear" w:pos="567"/>
        </w:tabs>
        <w:spacing w:line="240" w:lineRule="auto"/>
        <w:rPr>
          <w:szCs w:val="22"/>
        </w:rPr>
      </w:pPr>
    </w:p>
    <w:p w14:paraId="5632498E" w14:textId="77777777" w:rsidR="007F512D" w:rsidRPr="00B41D57" w:rsidRDefault="007F512D" w:rsidP="007F512D">
      <w:pPr>
        <w:tabs>
          <w:tab w:val="clear" w:pos="567"/>
        </w:tabs>
        <w:spacing w:line="240" w:lineRule="auto"/>
        <w:rPr>
          <w:szCs w:val="22"/>
        </w:rPr>
      </w:pPr>
    </w:p>
    <w:p w14:paraId="623CACB8" w14:textId="77777777" w:rsidR="007F512D" w:rsidRPr="00B41D57" w:rsidRDefault="007F512D" w:rsidP="007F512D">
      <w:pPr>
        <w:pStyle w:val="Style1"/>
      </w:pPr>
      <w:bookmarkStart w:id="32" w:name="_Hlk127278677"/>
      <w:bookmarkStart w:id="33" w:name="_Hlk161521298"/>
      <w:bookmarkStart w:id="34" w:name="_Hlk161520664"/>
      <w:r w:rsidRPr="00B41D57">
        <w:rPr>
          <w:highlight w:val="lightGray"/>
        </w:rPr>
        <w:t>16.</w:t>
      </w:r>
      <w:r w:rsidRPr="00B41D57">
        <w:tab/>
        <w:t>Kontaktní údaje</w:t>
      </w:r>
    </w:p>
    <w:bookmarkEnd w:id="32"/>
    <w:p w14:paraId="4CBAEA68" w14:textId="77777777" w:rsidR="007F512D" w:rsidRPr="00B41D57" w:rsidRDefault="007F512D" w:rsidP="007F512D">
      <w:pPr>
        <w:tabs>
          <w:tab w:val="clear" w:pos="567"/>
        </w:tabs>
        <w:spacing w:line="240" w:lineRule="auto"/>
        <w:rPr>
          <w:szCs w:val="22"/>
        </w:rPr>
      </w:pPr>
    </w:p>
    <w:p w14:paraId="39BF7046" w14:textId="7A2B4CFD" w:rsidR="007F512D" w:rsidRDefault="007F512D" w:rsidP="007F512D">
      <w:bookmarkStart w:id="35" w:name="_Hlk161520690"/>
      <w:bookmarkStart w:id="36" w:name="_Hlk73552578"/>
      <w:r w:rsidRPr="00B41D57">
        <w:rPr>
          <w:iCs/>
          <w:szCs w:val="22"/>
          <w:u w:val="single"/>
        </w:rPr>
        <w:t>Držitel rozhodnutí o registraci</w:t>
      </w:r>
      <w:r w:rsidR="005C0DAC">
        <w:rPr>
          <w:iCs/>
          <w:szCs w:val="22"/>
          <w:u w:val="single"/>
        </w:rPr>
        <w:t xml:space="preserve"> </w:t>
      </w:r>
      <w:r w:rsidRPr="00B41D57">
        <w:rPr>
          <w:iCs/>
          <w:szCs w:val="22"/>
          <w:u w:val="single"/>
        </w:rPr>
        <w:t>a výrobce odpovědný za uvolnění šarže</w:t>
      </w:r>
      <w:r w:rsidR="005C0DAC">
        <w:rPr>
          <w:iCs/>
          <w:szCs w:val="22"/>
          <w:u w:val="single"/>
        </w:rPr>
        <w:t xml:space="preserve"> </w:t>
      </w:r>
      <w:r w:rsidRPr="00B41D57">
        <w:rPr>
          <w:iCs/>
          <w:szCs w:val="22"/>
          <w:u w:val="single"/>
        </w:rPr>
        <w:t>a kontaktní údaje pro hlášení podezření na nežádoucí účinky</w:t>
      </w:r>
      <w:r w:rsidRPr="00B41D57">
        <w:t>:</w:t>
      </w:r>
      <w:bookmarkEnd w:id="35"/>
    </w:p>
    <w:p w14:paraId="4E24926B" w14:textId="7E89BDCB" w:rsidR="005C0DAC" w:rsidRPr="00B41D57" w:rsidRDefault="005C0DAC" w:rsidP="007F512D">
      <w:pPr>
        <w:rPr>
          <w:iCs/>
          <w:szCs w:val="22"/>
        </w:rPr>
      </w:pPr>
      <w:r w:rsidRPr="006340EB">
        <w:rPr>
          <w:szCs w:val="22"/>
          <w:lang w:val="fr-FR" w:eastAsia="fr-FR"/>
        </w:rPr>
        <w:t>Ceva Santé Animale</w:t>
      </w:r>
      <w:r>
        <w:rPr>
          <w:szCs w:val="22"/>
          <w:lang w:val="fr-FR" w:eastAsia="fr-FR"/>
        </w:rPr>
        <w:t xml:space="preserve">, </w:t>
      </w:r>
      <w:r w:rsidRPr="006340EB">
        <w:rPr>
          <w:szCs w:val="22"/>
          <w:lang w:val="fr-FR" w:eastAsia="fr-FR"/>
        </w:rPr>
        <w:t>10, av. de La Ballastière - 33500 Libourne - Franc</w:t>
      </w:r>
      <w:r>
        <w:rPr>
          <w:szCs w:val="22"/>
          <w:lang w:val="fr-FR" w:eastAsia="fr-FR"/>
        </w:rPr>
        <w:t>i</w:t>
      </w:r>
      <w:r w:rsidRPr="006340EB">
        <w:rPr>
          <w:szCs w:val="22"/>
          <w:lang w:val="fr-FR" w:eastAsia="fr-FR"/>
        </w:rPr>
        <w:t>e</w:t>
      </w:r>
    </w:p>
    <w:p w14:paraId="0042F4C4" w14:textId="77777777" w:rsidR="007F512D" w:rsidRPr="005C0DAC" w:rsidRDefault="007F512D" w:rsidP="007F512D">
      <w:pPr>
        <w:rPr>
          <w:szCs w:val="22"/>
        </w:rPr>
      </w:pPr>
      <w:bookmarkStart w:id="37" w:name="_Hlk161520717"/>
      <w:bookmarkEnd w:id="36"/>
      <w:r w:rsidRPr="005C0DAC">
        <w:rPr>
          <w:szCs w:val="22"/>
        </w:rPr>
        <w:t xml:space="preserve">Email: </w:t>
      </w:r>
      <w:hyperlink r:id="rId25" w:history="1">
        <w:r w:rsidRPr="005C0DAC">
          <w:rPr>
            <w:rStyle w:val="Hypertextovodkaz"/>
            <w:lang w:val="fr-FR"/>
          </w:rPr>
          <w:t>pharmacovigilance@ceva.com</w:t>
        </w:r>
      </w:hyperlink>
      <w:bookmarkEnd w:id="37"/>
      <w:r w:rsidRPr="005C0DAC">
        <w:rPr>
          <w:lang w:val="fr-FR"/>
        </w:rPr>
        <w:t xml:space="preserve"> , </w:t>
      </w:r>
      <w:hyperlink r:id="rId26" w:history="1">
        <w:r w:rsidRPr="005C0DAC">
          <w:rPr>
            <w:rStyle w:val="Hypertextovodkaz"/>
            <w:szCs w:val="22"/>
          </w:rPr>
          <w:t>ceva@ceva-ah.sk</w:t>
        </w:r>
      </w:hyperlink>
      <w:r w:rsidRPr="005C0DAC">
        <w:rPr>
          <w:szCs w:val="22"/>
        </w:rPr>
        <w:t xml:space="preserve"> </w:t>
      </w:r>
      <w:r w:rsidRPr="005C0DAC">
        <w:rPr>
          <w:b/>
          <w:szCs w:val="22"/>
        </w:rPr>
        <w:t xml:space="preserve">  </w:t>
      </w:r>
    </w:p>
    <w:p w14:paraId="23B4B3AF" w14:textId="77777777" w:rsidR="007F512D" w:rsidRPr="00E14D2A" w:rsidRDefault="007F512D" w:rsidP="007F512D">
      <w:pPr>
        <w:rPr>
          <w:szCs w:val="22"/>
        </w:rPr>
      </w:pPr>
      <w:r w:rsidRPr="005C0DAC">
        <w:rPr>
          <w:szCs w:val="22"/>
        </w:rPr>
        <w:t>Tel: 00 800 35 22 11 51</w:t>
      </w:r>
      <w:r w:rsidRPr="00E14D2A">
        <w:rPr>
          <w:szCs w:val="22"/>
        </w:rPr>
        <w:t> </w:t>
      </w:r>
    </w:p>
    <w:bookmarkEnd w:id="33"/>
    <w:p w14:paraId="665E080E" w14:textId="70E2418E" w:rsidR="007F512D" w:rsidRDefault="007F512D" w:rsidP="007F512D">
      <w:pPr>
        <w:rPr>
          <w:bCs/>
          <w:szCs w:val="22"/>
          <w:u w:val="single"/>
        </w:rPr>
      </w:pPr>
    </w:p>
    <w:p w14:paraId="32F9CC70" w14:textId="77777777" w:rsidR="00610DE7" w:rsidRDefault="00610DE7" w:rsidP="007F512D">
      <w:pPr>
        <w:rPr>
          <w:bCs/>
          <w:szCs w:val="22"/>
          <w:u w:val="single"/>
        </w:rPr>
      </w:pPr>
    </w:p>
    <w:bookmarkEnd w:id="34"/>
    <w:p w14:paraId="4A4F2F92" w14:textId="1F619B26" w:rsidR="007F512D" w:rsidRPr="00B41D57" w:rsidRDefault="007F512D" w:rsidP="007F512D">
      <w:pPr>
        <w:pStyle w:val="Style1"/>
      </w:pPr>
      <w:r w:rsidRPr="00B41D57">
        <w:rPr>
          <w:highlight w:val="lightGray"/>
        </w:rPr>
        <w:t>17.</w:t>
      </w:r>
      <w:r w:rsidRPr="00B41D57">
        <w:tab/>
        <w:t>Další informace</w:t>
      </w:r>
    </w:p>
    <w:p w14:paraId="5AE0BFCA" w14:textId="77777777" w:rsidR="007F512D" w:rsidRDefault="007F512D" w:rsidP="007F512D"/>
    <w:p w14:paraId="2405E006" w14:textId="2F728D59" w:rsidR="00AA0D57" w:rsidRDefault="006A4500">
      <w:r>
        <w:t>Přípravek s indikačním omezením.</w:t>
      </w:r>
    </w:p>
    <w:sectPr w:rsidR="00AA0D57" w:rsidSect="007F51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6DA86" w14:textId="77777777" w:rsidR="00532ED5" w:rsidRDefault="00532ED5" w:rsidP="009006E4">
      <w:pPr>
        <w:spacing w:line="240" w:lineRule="auto"/>
      </w:pPr>
      <w:r>
        <w:separator/>
      </w:r>
    </w:p>
  </w:endnote>
  <w:endnote w:type="continuationSeparator" w:id="0">
    <w:p w14:paraId="5EF36355" w14:textId="77777777" w:rsidR="00532ED5" w:rsidRDefault="00532ED5" w:rsidP="00900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3553" w14:textId="77777777" w:rsidR="00532ED5" w:rsidRDefault="00532ED5" w:rsidP="009006E4">
      <w:pPr>
        <w:spacing w:line="240" w:lineRule="auto"/>
      </w:pPr>
      <w:r>
        <w:separator/>
      </w:r>
    </w:p>
  </w:footnote>
  <w:footnote w:type="continuationSeparator" w:id="0">
    <w:p w14:paraId="0F1A6041" w14:textId="77777777" w:rsidR="00532ED5" w:rsidRDefault="00532ED5" w:rsidP="009006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C2CB3"/>
    <w:multiLevelType w:val="hybridMultilevel"/>
    <w:tmpl w:val="FFFFFFFF"/>
    <w:lvl w:ilvl="0" w:tplc="5FB62EC4">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0C3C1E"/>
    <w:multiLevelType w:val="hybridMultilevel"/>
    <w:tmpl w:val="BCC6941C"/>
    <w:lvl w:ilvl="0" w:tplc="0942990C">
      <w:start w:val="1"/>
      <w:numFmt w:val="upperLetter"/>
      <w:pStyle w:val="Style3"/>
      <w:suff w:val="space"/>
      <w:lvlText w:val="%1."/>
      <w:lvlJc w:val="left"/>
      <w:pPr>
        <w:ind w:left="0" w:firstLine="0"/>
      </w:pPr>
      <w:rPr>
        <w:rFonts w:hint="default"/>
      </w:rPr>
    </w:lvl>
    <w:lvl w:ilvl="1" w:tplc="F97A5EA4" w:tentative="1">
      <w:start w:val="1"/>
      <w:numFmt w:val="lowerLetter"/>
      <w:lvlText w:val="%2."/>
      <w:lvlJc w:val="left"/>
      <w:pPr>
        <w:ind w:left="1440" w:hanging="360"/>
      </w:pPr>
    </w:lvl>
    <w:lvl w:ilvl="2" w:tplc="31EE08BA" w:tentative="1">
      <w:start w:val="1"/>
      <w:numFmt w:val="lowerRoman"/>
      <w:lvlText w:val="%3."/>
      <w:lvlJc w:val="right"/>
      <w:pPr>
        <w:ind w:left="2160" w:hanging="180"/>
      </w:pPr>
    </w:lvl>
    <w:lvl w:ilvl="3" w:tplc="2D5EF3EA" w:tentative="1">
      <w:start w:val="1"/>
      <w:numFmt w:val="decimal"/>
      <w:lvlText w:val="%4."/>
      <w:lvlJc w:val="left"/>
      <w:pPr>
        <w:ind w:left="2880" w:hanging="360"/>
      </w:pPr>
    </w:lvl>
    <w:lvl w:ilvl="4" w:tplc="1F3ED122" w:tentative="1">
      <w:start w:val="1"/>
      <w:numFmt w:val="lowerLetter"/>
      <w:lvlText w:val="%5."/>
      <w:lvlJc w:val="left"/>
      <w:pPr>
        <w:ind w:left="3600" w:hanging="360"/>
      </w:pPr>
    </w:lvl>
    <w:lvl w:ilvl="5" w:tplc="AE14CE32" w:tentative="1">
      <w:start w:val="1"/>
      <w:numFmt w:val="lowerRoman"/>
      <w:lvlText w:val="%6."/>
      <w:lvlJc w:val="right"/>
      <w:pPr>
        <w:ind w:left="4320" w:hanging="180"/>
      </w:pPr>
    </w:lvl>
    <w:lvl w:ilvl="6" w:tplc="0D8E3BF4" w:tentative="1">
      <w:start w:val="1"/>
      <w:numFmt w:val="decimal"/>
      <w:lvlText w:val="%7."/>
      <w:lvlJc w:val="left"/>
      <w:pPr>
        <w:ind w:left="5040" w:hanging="360"/>
      </w:pPr>
    </w:lvl>
    <w:lvl w:ilvl="7" w:tplc="83D8549E" w:tentative="1">
      <w:start w:val="1"/>
      <w:numFmt w:val="lowerLetter"/>
      <w:lvlText w:val="%8."/>
      <w:lvlJc w:val="left"/>
      <w:pPr>
        <w:ind w:left="5760" w:hanging="360"/>
      </w:pPr>
    </w:lvl>
    <w:lvl w:ilvl="8" w:tplc="90DE1B84" w:tentative="1">
      <w:start w:val="1"/>
      <w:numFmt w:val="lowerRoman"/>
      <w:lvlText w:val="%9."/>
      <w:lvlJc w:val="right"/>
      <w:pPr>
        <w:ind w:left="6480" w:hanging="180"/>
      </w:pPr>
    </w:lvl>
  </w:abstractNum>
  <w:abstractNum w:abstractNumId="2" w15:restartNumberingAfterBreak="0">
    <w:nsid w:val="76E452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4C"/>
    <w:rsid w:val="00082939"/>
    <w:rsid w:val="000B1CA0"/>
    <w:rsid w:val="0015097C"/>
    <w:rsid w:val="00321632"/>
    <w:rsid w:val="003B1B9F"/>
    <w:rsid w:val="00455621"/>
    <w:rsid w:val="005255AC"/>
    <w:rsid w:val="00532ED5"/>
    <w:rsid w:val="005A6D17"/>
    <w:rsid w:val="005C0DAC"/>
    <w:rsid w:val="00610DE7"/>
    <w:rsid w:val="006A4500"/>
    <w:rsid w:val="006F364C"/>
    <w:rsid w:val="006F414D"/>
    <w:rsid w:val="0072128F"/>
    <w:rsid w:val="00726215"/>
    <w:rsid w:val="007D3E3B"/>
    <w:rsid w:val="007E186D"/>
    <w:rsid w:val="007F512D"/>
    <w:rsid w:val="00874FAB"/>
    <w:rsid w:val="008B4174"/>
    <w:rsid w:val="009006E4"/>
    <w:rsid w:val="009E5E4E"/>
    <w:rsid w:val="00A20A00"/>
    <w:rsid w:val="00AA0D57"/>
    <w:rsid w:val="00AD64DD"/>
    <w:rsid w:val="00B260DE"/>
    <w:rsid w:val="00B462A7"/>
    <w:rsid w:val="00BE3C8A"/>
    <w:rsid w:val="00C26C57"/>
    <w:rsid w:val="00CC28FC"/>
    <w:rsid w:val="00CC2C09"/>
    <w:rsid w:val="00D84A19"/>
    <w:rsid w:val="00DB083A"/>
    <w:rsid w:val="00DB6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7259"/>
  <w15:chartTrackingRefBased/>
  <w15:docId w15:val="{F07DA7B5-7DEC-4532-B6FF-CFBB8302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F512D"/>
    <w:pPr>
      <w:tabs>
        <w:tab w:val="left" w:pos="567"/>
      </w:tabs>
      <w:spacing w:after="0" w:line="260" w:lineRule="exact"/>
    </w:pPr>
    <w:rPr>
      <w:rFonts w:ascii="Times New Roman" w:eastAsia="Times New Roman" w:hAnsi="Times New Roman" w:cs="Times New Roman"/>
      <w:kern w:val="0"/>
      <w:szCs w:val="20"/>
      <w:lang w:val="cs-CZ"/>
      <w14:ligatures w14:val="none"/>
    </w:rPr>
  </w:style>
  <w:style w:type="paragraph" w:styleId="Nadpis1">
    <w:name w:val="heading 1"/>
    <w:basedOn w:val="Normln"/>
    <w:next w:val="Normln"/>
    <w:link w:val="Nadpis1Char"/>
    <w:uiPriority w:val="9"/>
    <w:qFormat/>
    <w:rsid w:val="006F3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F3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F364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F364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F364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F364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F364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F364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F364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364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F364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F364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F364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F364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F364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F364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F364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F364C"/>
    <w:rPr>
      <w:rFonts w:eastAsiaTheme="majorEastAsia" w:cstheme="majorBidi"/>
      <w:color w:val="272727" w:themeColor="text1" w:themeTint="D8"/>
    </w:rPr>
  </w:style>
  <w:style w:type="paragraph" w:styleId="Nzev">
    <w:name w:val="Title"/>
    <w:basedOn w:val="Normln"/>
    <w:next w:val="Normln"/>
    <w:link w:val="NzevChar"/>
    <w:uiPriority w:val="10"/>
    <w:qFormat/>
    <w:rsid w:val="006F3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364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F364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F364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F364C"/>
    <w:pPr>
      <w:spacing w:before="160"/>
      <w:jc w:val="center"/>
    </w:pPr>
    <w:rPr>
      <w:i/>
      <w:iCs/>
      <w:color w:val="404040" w:themeColor="text1" w:themeTint="BF"/>
    </w:rPr>
  </w:style>
  <w:style w:type="character" w:customStyle="1" w:styleId="CittChar">
    <w:name w:val="Citát Char"/>
    <w:basedOn w:val="Standardnpsmoodstavce"/>
    <w:link w:val="Citt"/>
    <w:uiPriority w:val="29"/>
    <w:rsid w:val="006F364C"/>
    <w:rPr>
      <w:i/>
      <w:iCs/>
      <w:color w:val="404040" w:themeColor="text1" w:themeTint="BF"/>
    </w:rPr>
  </w:style>
  <w:style w:type="paragraph" w:styleId="Odstavecseseznamem">
    <w:name w:val="List Paragraph"/>
    <w:basedOn w:val="Normln"/>
    <w:uiPriority w:val="34"/>
    <w:qFormat/>
    <w:rsid w:val="006F364C"/>
    <w:pPr>
      <w:ind w:left="720"/>
      <w:contextualSpacing/>
    </w:pPr>
  </w:style>
  <w:style w:type="character" w:styleId="Zdraznnintenzivn">
    <w:name w:val="Intense Emphasis"/>
    <w:basedOn w:val="Standardnpsmoodstavce"/>
    <w:uiPriority w:val="21"/>
    <w:qFormat/>
    <w:rsid w:val="006F364C"/>
    <w:rPr>
      <w:i/>
      <w:iCs/>
      <w:color w:val="0F4761" w:themeColor="accent1" w:themeShade="BF"/>
    </w:rPr>
  </w:style>
  <w:style w:type="paragraph" w:styleId="Vrazncitt">
    <w:name w:val="Intense Quote"/>
    <w:basedOn w:val="Normln"/>
    <w:next w:val="Normln"/>
    <w:link w:val="VrazncittChar"/>
    <w:uiPriority w:val="30"/>
    <w:qFormat/>
    <w:rsid w:val="006F3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F364C"/>
    <w:rPr>
      <w:i/>
      <w:iCs/>
      <w:color w:val="0F4761" w:themeColor="accent1" w:themeShade="BF"/>
    </w:rPr>
  </w:style>
  <w:style w:type="character" w:styleId="Odkazintenzivn">
    <w:name w:val="Intense Reference"/>
    <w:basedOn w:val="Standardnpsmoodstavce"/>
    <w:uiPriority w:val="32"/>
    <w:qFormat/>
    <w:rsid w:val="006F364C"/>
    <w:rPr>
      <w:b/>
      <w:bCs/>
      <w:smallCaps/>
      <w:color w:val="0F4761" w:themeColor="accent1" w:themeShade="BF"/>
      <w:spacing w:val="5"/>
    </w:rPr>
  </w:style>
  <w:style w:type="character" w:styleId="Hypertextovodkaz">
    <w:name w:val="Hyperlink"/>
    <w:rsid w:val="007F512D"/>
    <w:rPr>
      <w:color w:val="0000FF"/>
      <w:u w:val="single"/>
    </w:rPr>
  </w:style>
  <w:style w:type="paragraph" w:customStyle="1" w:styleId="Style1">
    <w:name w:val="Style1"/>
    <w:basedOn w:val="Normln"/>
    <w:qFormat/>
    <w:rsid w:val="007F512D"/>
    <w:pPr>
      <w:tabs>
        <w:tab w:val="clear" w:pos="567"/>
        <w:tab w:val="left" w:pos="0"/>
      </w:tabs>
      <w:spacing w:line="240" w:lineRule="auto"/>
      <w:ind w:left="567" w:hanging="567"/>
    </w:pPr>
    <w:rPr>
      <w:b/>
      <w:szCs w:val="22"/>
    </w:rPr>
  </w:style>
  <w:style w:type="paragraph" w:customStyle="1" w:styleId="Style3">
    <w:name w:val="Style3"/>
    <w:basedOn w:val="Normln"/>
    <w:qFormat/>
    <w:rsid w:val="007F512D"/>
    <w:pPr>
      <w:numPr>
        <w:numId w:val="1"/>
      </w:numPr>
      <w:tabs>
        <w:tab w:val="clear" w:pos="567"/>
      </w:tabs>
      <w:spacing w:line="240" w:lineRule="auto"/>
      <w:jc w:val="center"/>
    </w:pPr>
    <w:rPr>
      <w:b/>
      <w:szCs w:val="22"/>
    </w:rPr>
  </w:style>
  <w:style w:type="paragraph" w:customStyle="1" w:styleId="Style4">
    <w:name w:val="Style4"/>
    <w:basedOn w:val="Normln"/>
    <w:qFormat/>
    <w:rsid w:val="007F512D"/>
    <w:rPr>
      <w:szCs w:val="22"/>
    </w:rPr>
  </w:style>
  <w:style w:type="paragraph" w:customStyle="1" w:styleId="Style5">
    <w:name w:val="Style5"/>
    <w:basedOn w:val="Normln"/>
    <w:qFormat/>
    <w:rsid w:val="007F512D"/>
    <w:pPr>
      <w:numPr>
        <w:ilvl w:val="12"/>
      </w:numPr>
      <w:tabs>
        <w:tab w:val="clear" w:pos="567"/>
      </w:tabs>
      <w:spacing w:line="240" w:lineRule="auto"/>
    </w:pPr>
    <w:rPr>
      <w:szCs w:val="22"/>
    </w:rPr>
  </w:style>
  <w:style w:type="character" w:customStyle="1" w:styleId="hps">
    <w:name w:val="hps"/>
    <w:basedOn w:val="Standardnpsmoodstavce"/>
    <w:rsid w:val="00726215"/>
    <w:rPr>
      <w:rFonts w:cs="Times New Roman"/>
    </w:rPr>
  </w:style>
  <w:style w:type="character" w:customStyle="1" w:styleId="atn">
    <w:name w:val="atn"/>
    <w:basedOn w:val="Standardnpsmoodstavce"/>
    <w:rsid w:val="00726215"/>
    <w:rPr>
      <w:rFonts w:cs="Times New Roman"/>
    </w:rPr>
  </w:style>
  <w:style w:type="paragraph" w:styleId="Revize">
    <w:name w:val="Revision"/>
    <w:hidden/>
    <w:uiPriority w:val="99"/>
    <w:semiHidden/>
    <w:rsid w:val="00726215"/>
    <w:pPr>
      <w:spacing w:after="0" w:line="240" w:lineRule="auto"/>
    </w:pPr>
    <w:rPr>
      <w:rFonts w:ascii="Times New Roman" w:eastAsia="Times New Roman" w:hAnsi="Times New Roman" w:cs="Times New Roman"/>
      <w:kern w:val="0"/>
      <w:szCs w:val="20"/>
      <w:lang w:val="cs-CZ"/>
      <w14:ligatures w14:val="none"/>
    </w:rPr>
  </w:style>
  <w:style w:type="paragraph" w:styleId="Zhlav">
    <w:name w:val="header"/>
    <w:basedOn w:val="Normln"/>
    <w:link w:val="ZhlavChar"/>
    <w:uiPriority w:val="99"/>
    <w:unhideWhenUsed/>
    <w:rsid w:val="009006E4"/>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9006E4"/>
    <w:rPr>
      <w:rFonts w:ascii="Times New Roman" w:eastAsia="Times New Roman" w:hAnsi="Times New Roman" w:cs="Times New Roman"/>
      <w:kern w:val="0"/>
      <w:szCs w:val="20"/>
      <w:lang w:val="cs-CZ"/>
      <w14:ligatures w14:val="none"/>
    </w:rPr>
  </w:style>
  <w:style w:type="paragraph" w:styleId="Zpat">
    <w:name w:val="footer"/>
    <w:basedOn w:val="Normln"/>
    <w:link w:val="ZpatChar"/>
    <w:uiPriority w:val="99"/>
    <w:unhideWhenUsed/>
    <w:rsid w:val="009006E4"/>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9006E4"/>
    <w:rPr>
      <w:rFonts w:ascii="Times New Roman" w:eastAsia="Times New Roman" w:hAnsi="Times New Roman" w:cs="Times New Roman"/>
      <w:kern w:val="0"/>
      <w:szCs w:val="20"/>
      <w:lang w:val="cs-CZ"/>
      <w14:ligatures w14:val="none"/>
    </w:rPr>
  </w:style>
  <w:style w:type="paragraph" w:styleId="Textbubliny">
    <w:name w:val="Balloon Text"/>
    <w:basedOn w:val="Normln"/>
    <w:link w:val="TextbublinyChar"/>
    <w:uiPriority w:val="99"/>
    <w:semiHidden/>
    <w:unhideWhenUsed/>
    <w:rsid w:val="00C26C5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6C57"/>
    <w:rPr>
      <w:rFonts w:ascii="Segoe UI" w:eastAsia="Times New Roman" w:hAnsi="Segoe UI" w:cs="Segoe UI"/>
      <w:kern w:val="0"/>
      <w:sz w:val="18"/>
      <w:szCs w:val="18"/>
      <w:lang w:val="cs-CZ"/>
      <w14:ligatures w14:val="none"/>
    </w:rPr>
  </w:style>
  <w:style w:type="character" w:styleId="Odkaznakoment">
    <w:name w:val="annotation reference"/>
    <w:basedOn w:val="Standardnpsmoodstavce"/>
    <w:uiPriority w:val="99"/>
    <w:semiHidden/>
    <w:unhideWhenUsed/>
    <w:rsid w:val="00A20A00"/>
    <w:rPr>
      <w:sz w:val="16"/>
      <w:szCs w:val="16"/>
    </w:rPr>
  </w:style>
  <w:style w:type="paragraph" w:styleId="Textkomente">
    <w:name w:val="annotation text"/>
    <w:basedOn w:val="Normln"/>
    <w:link w:val="TextkomenteChar"/>
    <w:uiPriority w:val="99"/>
    <w:semiHidden/>
    <w:unhideWhenUsed/>
    <w:rsid w:val="00A20A00"/>
    <w:pPr>
      <w:spacing w:line="240" w:lineRule="auto"/>
    </w:pPr>
    <w:rPr>
      <w:sz w:val="20"/>
    </w:rPr>
  </w:style>
  <w:style w:type="character" w:customStyle="1" w:styleId="TextkomenteChar">
    <w:name w:val="Text komentáře Char"/>
    <w:basedOn w:val="Standardnpsmoodstavce"/>
    <w:link w:val="Textkomente"/>
    <w:uiPriority w:val="99"/>
    <w:semiHidden/>
    <w:rsid w:val="00A20A00"/>
    <w:rPr>
      <w:rFonts w:ascii="Times New Roman" w:eastAsia="Times New Roman" w:hAnsi="Times New Roman" w:cs="Times New Roman"/>
      <w:kern w:val="0"/>
      <w:sz w:val="20"/>
      <w:szCs w:val="20"/>
      <w:lang w:val="cs-CZ"/>
      <w14:ligatures w14:val="none"/>
    </w:rPr>
  </w:style>
  <w:style w:type="paragraph" w:styleId="Pedmtkomente">
    <w:name w:val="annotation subject"/>
    <w:basedOn w:val="Textkomente"/>
    <w:next w:val="Textkomente"/>
    <w:link w:val="PedmtkomenteChar"/>
    <w:uiPriority w:val="99"/>
    <w:semiHidden/>
    <w:unhideWhenUsed/>
    <w:rsid w:val="00A20A00"/>
    <w:rPr>
      <w:b/>
      <w:bCs/>
    </w:rPr>
  </w:style>
  <w:style w:type="character" w:customStyle="1" w:styleId="PedmtkomenteChar">
    <w:name w:val="Předmět komentáře Char"/>
    <w:basedOn w:val="TextkomenteChar"/>
    <w:link w:val="Pedmtkomente"/>
    <w:uiPriority w:val="99"/>
    <w:semiHidden/>
    <w:rsid w:val="00A20A00"/>
    <w:rPr>
      <w:rFonts w:ascii="Times New Roman" w:eastAsia="Times New Roman" w:hAnsi="Times New Roman" w:cs="Times New Roman"/>
      <w:b/>
      <w:bCs/>
      <w:kern w:val="0"/>
      <w:sz w:val="20"/>
      <w:szCs w:val="20"/>
      <w:lang w:val="cs-CZ"/>
      <w14:ligatures w14:val="none"/>
    </w:rPr>
  </w:style>
  <w:style w:type="character" w:styleId="Nevyeenzmnka">
    <w:name w:val="Unresolved Mention"/>
    <w:basedOn w:val="Standardnpsmoodstavce"/>
    <w:uiPriority w:val="99"/>
    <w:semiHidden/>
    <w:unhideWhenUsed/>
    <w:rsid w:val="009E5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yperlink" Target="http://translate.google.sk/?hl=sk&amp;sl=en&amp;tl=sk&amp;sugg=w&amp;hints=true&amp;q=http://www.washingtonpost.com/" TargetMode="External"/><Relationship Id="rId18" Type="http://schemas.openxmlformats.org/officeDocument/2006/relationships/hyperlink" Target="http://translate.google.sk/?hl=sk&amp;sl=de&amp;tl=sk&amp;sugg=w&amp;hints=true&amp;q=http://www.zeit.de/" TargetMode="External"/><Relationship Id="rId26" Type="http://schemas.openxmlformats.org/officeDocument/2006/relationships/hyperlink" Target="mailto:ceva@ceva-ah.sk" TargetMode="External"/><Relationship Id="rId3" Type="http://schemas.openxmlformats.org/officeDocument/2006/relationships/styles" Target="styles.xml"/><Relationship Id="rId21" Type="http://schemas.openxmlformats.org/officeDocument/2006/relationships/hyperlink" Target="http://translate.google.sk/?hl=sk&amp;sl=hi&amp;tl=sk&amp;sugg=w&amp;hints=true&amp;q=http://thatshindi.oneindia.in/movies/" TargetMode="External"/><Relationship Id="rId7" Type="http://schemas.openxmlformats.org/officeDocument/2006/relationships/endnotes" Target="endnotes.xml"/><Relationship Id="rId12" Type="http://schemas.openxmlformats.org/officeDocument/2006/relationships/hyperlink" Target="http://translate.google.sk/?hl=sk&amp;sl=ar&amp;tl=sk&amp;sugg=w&amp;hints=true&amp;q=http://www.zamalekfans.com/" TargetMode="External"/><Relationship Id="rId17" Type="http://schemas.openxmlformats.org/officeDocument/2006/relationships/hyperlink" Target="http://translate.google.sk/?hl=sk&amp;sl=en&amp;tl=sk&amp;sugg=w&amp;hints=true&amp;q=http://www.guardian.co.uk/" TargetMode="External"/><Relationship Id="rId25" Type="http://schemas.openxmlformats.org/officeDocument/2006/relationships/hyperlink" Target="mailto:pharmacovigilance@ceva.com" TargetMode="External"/><Relationship Id="rId2" Type="http://schemas.openxmlformats.org/officeDocument/2006/relationships/numbering" Target="numbering.xml"/><Relationship Id="rId16" Type="http://schemas.openxmlformats.org/officeDocument/2006/relationships/hyperlink" Target="http://translate.google.sk/?hl=sk&amp;sl=es&amp;tl=sk&amp;sugg=w&amp;hints=true&amp;q=http://www.lainformacion.com/" TargetMode="External"/><Relationship Id="rId20" Type="http://schemas.openxmlformats.org/officeDocument/2006/relationships/hyperlink" Target="http://translate.google.sk/?hl=sk&amp;sl=da&amp;tl=sk&amp;sugg=w&amp;hints=true&amp;q=http://www.berlingske.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sk/?hl=sk&amp;sl=es&amp;tl=sk&amp;sugg=w&amp;hints=true&amp;q=http://www.publico.es/" TargetMode="External"/><Relationship Id="rId24"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hyperlink" Target="http://translate.google.sk/?hl=sk&amp;sl=fr&amp;tl=sk&amp;sugg=w&amp;hints=true&amp;q=http://www.lexpress.fr/" TargetMode="External"/><Relationship Id="rId23" Type="http://schemas.openxmlformats.org/officeDocument/2006/relationships/hyperlink" Target="https://medicines.health.europa.eu/veterinary" TargetMode="External"/><Relationship Id="rId28" Type="http://schemas.openxmlformats.org/officeDocument/2006/relationships/theme" Target="theme/theme1.xml"/><Relationship Id="rId10" Type="http://schemas.openxmlformats.org/officeDocument/2006/relationships/hyperlink" Target="http://www.google.sk/dictionary?source=translation&amp;hl=sk&amp;q=&amp;langpair=cs|sk" TargetMode="External"/><Relationship Id="rId19" Type="http://schemas.openxmlformats.org/officeDocument/2006/relationships/hyperlink" Target="http://translate.google.sk/?hl=sk&amp;sl=de&amp;tl=sk&amp;sugg=w&amp;hints=true&amp;q=http://www.bild.de/"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hyperlink" Target="http://translate.google.sk/?hl=sk&amp;sl=zh-CN&amp;tl=sk&amp;sugg=w&amp;hints=true&amp;q=http://www.tom.com/" TargetMode="External"/><Relationship Id="rId22" Type="http://schemas.openxmlformats.org/officeDocument/2006/relationships/hyperlink" Target="http://translate.google.sk/?hl=sk&amp;sl=de&amp;tl=sk&amp;sugg=w&amp;hints=true&amp;q=http://www.news.de/"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BBB3-C46B-490B-8E40-D33F21B3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1660</Words>
  <Characters>9797</Characters>
  <Application>Microsoft Office Word</Application>
  <DocSecurity>0</DocSecurity>
  <Lines>81</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ZVAROVA</dc:creator>
  <cp:keywords/>
  <dc:description/>
  <cp:lastModifiedBy>Neugebauerová Kateřina</cp:lastModifiedBy>
  <cp:revision>17</cp:revision>
  <cp:lastPrinted>2025-05-16T11:11:00Z</cp:lastPrinted>
  <dcterms:created xsi:type="dcterms:W3CDTF">2024-11-28T09:15:00Z</dcterms:created>
  <dcterms:modified xsi:type="dcterms:W3CDTF">2025-05-16T11:11:00Z</dcterms:modified>
</cp:coreProperties>
</file>