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5240F" w14:textId="7F87A3AB" w:rsidR="00C114FF" w:rsidRDefault="00C114FF" w:rsidP="00A9226B">
      <w:pPr>
        <w:tabs>
          <w:tab w:val="clear" w:pos="567"/>
        </w:tabs>
        <w:spacing w:line="240" w:lineRule="auto"/>
        <w:rPr>
          <w:szCs w:val="22"/>
        </w:rPr>
      </w:pPr>
    </w:p>
    <w:p w14:paraId="119EE02B" w14:textId="170A8DA4" w:rsidR="00DC1FEA" w:rsidRDefault="00DC1FEA" w:rsidP="00A9226B">
      <w:pPr>
        <w:tabs>
          <w:tab w:val="clear" w:pos="567"/>
        </w:tabs>
        <w:spacing w:line="240" w:lineRule="auto"/>
        <w:rPr>
          <w:szCs w:val="22"/>
        </w:rPr>
      </w:pPr>
    </w:p>
    <w:p w14:paraId="0AE89304" w14:textId="175CAA0B" w:rsidR="00DC1FEA" w:rsidRDefault="00DC1FEA" w:rsidP="00A9226B">
      <w:pPr>
        <w:tabs>
          <w:tab w:val="clear" w:pos="567"/>
        </w:tabs>
        <w:spacing w:line="240" w:lineRule="auto"/>
        <w:rPr>
          <w:szCs w:val="22"/>
        </w:rPr>
      </w:pPr>
    </w:p>
    <w:p w14:paraId="58F41434" w14:textId="26B7EF2D" w:rsidR="00DC1FEA" w:rsidRDefault="00DC1FEA" w:rsidP="00A9226B">
      <w:pPr>
        <w:tabs>
          <w:tab w:val="clear" w:pos="567"/>
        </w:tabs>
        <w:spacing w:line="240" w:lineRule="auto"/>
        <w:rPr>
          <w:szCs w:val="22"/>
        </w:rPr>
      </w:pPr>
    </w:p>
    <w:p w14:paraId="795F547B" w14:textId="5938E94B" w:rsidR="00DC1FEA" w:rsidRDefault="00DC1FEA" w:rsidP="00A9226B">
      <w:pPr>
        <w:tabs>
          <w:tab w:val="clear" w:pos="567"/>
        </w:tabs>
        <w:spacing w:line="240" w:lineRule="auto"/>
        <w:rPr>
          <w:szCs w:val="22"/>
        </w:rPr>
      </w:pPr>
    </w:p>
    <w:p w14:paraId="775AD0C3" w14:textId="7207C5F8" w:rsidR="00DC1FEA" w:rsidRDefault="00DC1FEA" w:rsidP="00A9226B">
      <w:pPr>
        <w:tabs>
          <w:tab w:val="clear" w:pos="567"/>
        </w:tabs>
        <w:spacing w:line="240" w:lineRule="auto"/>
        <w:rPr>
          <w:szCs w:val="22"/>
        </w:rPr>
      </w:pPr>
    </w:p>
    <w:p w14:paraId="2F42A21F" w14:textId="2A524FD0" w:rsidR="00DC1FEA" w:rsidRDefault="00DC1FEA" w:rsidP="00A9226B">
      <w:pPr>
        <w:tabs>
          <w:tab w:val="clear" w:pos="567"/>
        </w:tabs>
        <w:spacing w:line="240" w:lineRule="auto"/>
        <w:rPr>
          <w:szCs w:val="22"/>
        </w:rPr>
      </w:pPr>
    </w:p>
    <w:p w14:paraId="32CC9C28" w14:textId="77777777" w:rsidR="00DC1FEA" w:rsidRPr="00C21BDD" w:rsidRDefault="00DC1FEA" w:rsidP="00A9226B">
      <w:pPr>
        <w:tabs>
          <w:tab w:val="clear" w:pos="567"/>
        </w:tabs>
        <w:spacing w:line="240" w:lineRule="auto"/>
        <w:rPr>
          <w:szCs w:val="22"/>
        </w:rPr>
      </w:pPr>
    </w:p>
    <w:p w14:paraId="7E1504C0" w14:textId="77777777" w:rsidR="00C114FF" w:rsidRPr="00C21BDD" w:rsidRDefault="00C114FF" w:rsidP="00A9226B">
      <w:pPr>
        <w:tabs>
          <w:tab w:val="clear" w:pos="567"/>
        </w:tabs>
        <w:spacing w:line="240" w:lineRule="auto"/>
        <w:rPr>
          <w:szCs w:val="22"/>
        </w:rPr>
      </w:pPr>
    </w:p>
    <w:p w14:paraId="07642786" w14:textId="77777777" w:rsidR="00C114FF" w:rsidRPr="00C21BDD" w:rsidRDefault="00C114FF" w:rsidP="00A9226B">
      <w:pPr>
        <w:tabs>
          <w:tab w:val="clear" w:pos="567"/>
        </w:tabs>
        <w:spacing w:line="240" w:lineRule="auto"/>
        <w:rPr>
          <w:szCs w:val="22"/>
        </w:rPr>
      </w:pPr>
    </w:p>
    <w:p w14:paraId="284CF734" w14:textId="77777777" w:rsidR="00C114FF" w:rsidRPr="00C21BDD" w:rsidRDefault="00C114FF" w:rsidP="00A9226B">
      <w:pPr>
        <w:tabs>
          <w:tab w:val="clear" w:pos="567"/>
        </w:tabs>
        <w:spacing w:line="240" w:lineRule="auto"/>
        <w:rPr>
          <w:szCs w:val="22"/>
        </w:rPr>
      </w:pPr>
    </w:p>
    <w:p w14:paraId="2BB45039" w14:textId="77777777" w:rsidR="00C114FF" w:rsidRPr="00C21BDD" w:rsidRDefault="00C114FF" w:rsidP="00A9226B">
      <w:pPr>
        <w:tabs>
          <w:tab w:val="clear" w:pos="567"/>
        </w:tabs>
        <w:spacing w:line="240" w:lineRule="auto"/>
        <w:rPr>
          <w:szCs w:val="22"/>
        </w:rPr>
      </w:pPr>
    </w:p>
    <w:p w14:paraId="3F765560" w14:textId="77777777" w:rsidR="00C114FF" w:rsidRPr="00C21BDD" w:rsidRDefault="00C114FF" w:rsidP="00A9226B">
      <w:pPr>
        <w:tabs>
          <w:tab w:val="clear" w:pos="567"/>
        </w:tabs>
        <w:spacing w:line="240" w:lineRule="auto"/>
        <w:rPr>
          <w:szCs w:val="22"/>
        </w:rPr>
      </w:pPr>
    </w:p>
    <w:p w14:paraId="39B62655" w14:textId="77777777" w:rsidR="00C114FF" w:rsidRPr="00C21BDD" w:rsidRDefault="00C114FF" w:rsidP="00A9226B">
      <w:pPr>
        <w:tabs>
          <w:tab w:val="clear" w:pos="567"/>
        </w:tabs>
        <w:spacing w:line="240" w:lineRule="auto"/>
        <w:rPr>
          <w:szCs w:val="22"/>
        </w:rPr>
      </w:pPr>
    </w:p>
    <w:p w14:paraId="1BE95848" w14:textId="77777777" w:rsidR="00C114FF" w:rsidRPr="00C21BDD" w:rsidRDefault="00C114FF" w:rsidP="00A9226B">
      <w:pPr>
        <w:tabs>
          <w:tab w:val="clear" w:pos="567"/>
        </w:tabs>
        <w:spacing w:line="240" w:lineRule="auto"/>
        <w:rPr>
          <w:szCs w:val="22"/>
        </w:rPr>
      </w:pPr>
    </w:p>
    <w:p w14:paraId="61EC8DFB" w14:textId="77777777" w:rsidR="00C114FF" w:rsidRPr="00C21BDD" w:rsidRDefault="00C114FF" w:rsidP="00A9226B">
      <w:pPr>
        <w:tabs>
          <w:tab w:val="clear" w:pos="567"/>
        </w:tabs>
        <w:spacing w:line="240" w:lineRule="auto"/>
        <w:rPr>
          <w:szCs w:val="22"/>
        </w:rPr>
      </w:pPr>
    </w:p>
    <w:p w14:paraId="4B0FCF7E" w14:textId="77777777" w:rsidR="00C114FF" w:rsidRPr="00C21BDD" w:rsidRDefault="00C114FF" w:rsidP="00A9226B">
      <w:pPr>
        <w:tabs>
          <w:tab w:val="clear" w:pos="567"/>
        </w:tabs>
        <w:spacing w:line="240" w:lineRule="auto"/>
        <w:rPr>
          <w:szCs w:val="22"/>
        </w:rPr>
      </w:pPr>
    </w:p>
    <w:p w14:paraId="3897F189" w14:textId="77777777" w:rsidR="00C114FF" w:rsidRPr="00C21BDD" w:rsidRDefault="00C114FF" w:rsidP="00A9226B">
      <w:pPr>
        <w:tabs>
          <w:tab w:val="clear" w:pos="567"/>
        </w:tabs>
        <w:spacing w:line="240" w:lineRule="auto"/>
        <w:rPr>
          <w:szCs w:val="22"/>
        </w:rPr>
      </w:pPr>
    </w:p>
    <w:p w14:paraId="3819E9AA" w14:textId="77777777" w:rsidR="00C114FF" w:rsidRPr="00C21BDD" w:rsidRDefault="00C114FF" w:rsidP="00A9226B">
      <w:pPr>
        <w:tabs>
          <w:tab w:val="clear" w:pos="567"/>
        </w:tabs>
        <w:spacing w:line="240" w:lineRule="auto"/>
        <w:rPr>
          <w:szCs w:val="22"/>
        </w:rPr>
      </w:pPr>
    </w:p>
    <w:p w14:paraId="5525F0E1" w14:textId="77777777" w:rsidR="00C114FF" w:rsidRPr="00C21BDD" w:rsidRDefault="00C114FF" w:rsidP="00A9226B">
      <w:pPr>
        <w:tabs>
          <w:tab w:val="clear" w:pos="567"/>
        </w:tabs>
        <w:spacing w:line="240" w:lineRule="auto"/>
        <w:rPr>
          <w:szCs w:val="22"/>
        </w:rPr>
      </w:pPr>
    </w:p>
    <w:p w14:paraId="2B96C493" w14:textId="77777777" w:rsidR="00C114FF" w:rsidRPr="00C21BDD" w:rsidRDefault="00C114FF" w:rsidP="00A9226B">
      <w:pPr>
        <w:tabs>
          <w:tab w:val="clear" w:pos="567"/>
        </w:tabs>
        <w:spacing w:line="240" w:lineRule="auto"/>
        <w:rPr>
          <w:szCs w:val="22"/>
        </w:rPr>
      </w:pPr>
    </w:p>
    <w:p w14:paraId="52001743" w14:textId="77777777" w:rsidR="00C114FF" w:rsidRPr="00C21BDD" w:rsidRDefault="00C114FF" w:rsidP="00A9226B">
      <w:pPr>
        <w:tabs>
          <w:tab w:val="clear" w:pos="567"/>
        </w:tabs>
        <w:spacing w:line="240" w:lineRule="auto"/>
        <w:rPr>
          <w:szCs w:val="22"/>
        </w:rPr>
      </w:pPr>
    </w:p>
    <w:p w14:paraId="688959B4" w14:textId="69106F26" w:rsidR="00C114FF" w:rsidRPr="00C21BDD" w:rsidRDefault="00C114FF" w:rsidP="00A9226B">
      <w:pPr>
        <w:tabs>
          <w:tab w:val="clear" w:pos="567"/>
        </w:tabs>
        <w:spacing w:line="240" w:lineRule="auto"/>
        <w:rPr>
          <w:szCs w:val="22"/>
        </w:rPr>
      </w:pPr>
    </w:p>
    <w:p w14:paraId="3684FE57" w14:textId="77777777" w:rsidR="00391622" w:rsidRPr="00C21BDD" w:rsidRDefault="00391622" w:rsidP="00A9226B">
      <w:pPr>
        <w:tabs>
          <w:tab w:val="clear" w:pos="567"/>
        </w:tabs>
        <w:spacing w:line="240" w:lineRule="auto"/>
        <w:rPr>
          <w:szCs w:val="22"/>
        </w:rPr>
      </w:pPr>
    </w:p>
    <w:p w14:paraId="78432B99" w14:textId="6CE21419" w:rsidR="00C114FF" w:rsidRPr="00C21BDD" w:rsidRDefault="00E50D58" w:rsidP="00DC1FEA">
      <w:pPr>
        <w:pStyle w:val="Style3"/>
        <w:numPr>
          <w:ilvl w:val="0"/>
          <w:numId w:val="0"/>
        </w:numPr>
      </w:pPr>
      <w:r>
        <w:t xml:space="preserve">B. </w:t>
      </w:r>
      <w:r w:rsidR="00C605FD" w:rsidRPr="00C21BDD">
        <w:t>PŘÍBALOVÁ INFORMACE</w:t>
      </w:r>
    </w:p>
    <w:p w14:paraId="43EC8B49" w14:textId="77777777" w:rsidR="00C114FF" w:rsidRPr="00C21BDD" w:rsidRDefault="00C605FD" w:rsidP="00A9226B">
      <w:pPr>
        <w:tabs>
          <w:tab w:val="clear" w:pos="567"/>
        </w:tabs>
        <w:spacing w:line="240" w:lineRule="auto"/>
        <w:jc w:val="center"/>
        <w:rPr>
          <w:szCs w:val="22"/>
        </w:rPr>
      </w:pPr>
      <w:r w:rsidRPr="00C21BDD">
        <w:br w:type="page"/>
      </w:r>
      <w:r w:rsidRPr="00C21BDD">
        <w:rPr>
          <w:b/>
          <w:szCs w:val="22"/>
        </w:rPr>
        <w:lastRenderedPageBreak/>
        <w:t>PŘÍBALOVÁ INFORMACE</w:t>
      </w:r>
    </w:p>
    <w:p w14:paraId="27F915C0" w14:textId="77777777" w:rsidR="00951118" w:rsidRPr="00C21BDD" w:rsidRDefault="00951118" w:rsidP="00A9226B">
      <w:pPr>
        <w:tabs>
          <w:tab w:val="clear" w:pos="567"/>
        </w:tabs>
        <w:spacing w:line="240" w:lineRule="auto"/>
        <w:rPr>
          <w:szCs w:val="22"/>
        </w:rPr>
      </w:pPr>
    </w:p>
    <w:p w14:paraId="19C4295D" w14:textId="77777777" w:rsidR="00C114FF" w:rsidRPr="00C21BDD" w:rsidRDefault="00C605FD" w:rsidP="00B13B6D">
      <w:pPr>
        <w:pStyle w:val="Style1"/>
      </w:pPr>
      <w:r w:rsidRPr="00C21BDD">
        <w:rPr>
          <w:highlight w:val="lightGray"/>
        </w:rPr>
        <w:t>1.</w:t>
      </w:r>
      <w:r w:rsidRPr="00C21BDD">
        <w:tab/>
        <w:t>Název veterinárního léčivého přípravku</w:t>
      </w:r>
    </w:p>
    <w:p w14:paraId="15739A9F" w14:textId="77777777" w:rsidR="00C114FF" w:rsidRPr="00C21BDD" w:rsidRDefault="00C114FF" w:rsidP="00A9226B">
      <w:pPr>
        <w:tabs>
          <w:tab w:val="clear" w:pos="567"/>
        </w:tabs>
        <w:spacing w:line="240" w:lineRule="auto"/>
        <w:rPr>
          <w:szCs w:val="22"/>
        </w:rPr>
      </w:pPr>
    </w:p>
    <w:p w14:paraId="793AB30B" w14:textId="44725C2B" w:rsidR="00C817DA" w:rsidRPr="00C21BDD" w:rsidRDefault="00C817DA" w:rsidP="00C817DA">
      <w:pPr>
        <w:tabs>
          <w:tab w:val="clear" w:pos="567"/>
        </w:tabs>
        <w:spacing w:line="240" w:lineRule="auto"/>
        <w:rPr>
          <w:szCs w:val="22"/>
        </w:rPr>
      </w:pPr>
      <w:r w:rsidRPr="00C21BDD">
        <w:rPr>
          <w:szCs w:val="22"/>
        </w:rPr>
        <w:t>Repose 500 mg/ml injekční roztok</w:t>
      </w:r>
    </w:p>
    <w:p w14:paraId="1F24FE97" w14:textId="77777777" w:rsidR="00C114FF" w:rsidRPr="00C21BDD" w:rsidRDefault="00C114FF" w:rsidP="00A9226B">
      <w:pPr>
        <w:tabs>
          <w:tab w:val="clear" w:pos="567"/>
        </w:tabs>
        <w:spacing w:line="240" w:lineRule="auto"/>
        <w:rPr>
          <w:szCs w:val="22"/>
        </w:rPr>
      </w:pPr>
    </w:p>
    <w:p w14:paraId="4DC3CEBE" w14:textId="77777777" w:rsidR="00C817DA" w:rsidRPr="00C21BDD" w:rsidRDefault="00C817DA" w:rsidP="00A9226B">
      <w:pPr>
        <w:tabs>
          <w:tab w:val="clear" w:pos="567"/>
        </w:tabs>
        <w:spacing w:line="240" w:lineRule="auto"/>
        <w:rPr>
          <w:szCs w:val="22"/>
        </w:rPr>
      </w:pPr>
    </w:p>
    <w:p w14:paraId="69479FE0" w14:textId="77777777" w:rsidR="00C114FF" w:rsidRPr="00C21BDD" w:rsidRDefault="00C605FD" w:rsidP="00B13B6D">
      <w:pPr>
        <w:pStyle w:val="Style1"/>
      </w:pPr>
      <w:r w:rsidRPr="00C21BDD">
        <w:rPr>
          <w:highlight w:val="lightGray"/>
        </w:rPr>
        <w:t>2.</w:t>
      </w:r>
      <w:r w:rsidRPr="00C21BDD">
        <w:tab/>
        <w:t>Složení</w:t>
      </w:r>
    </w:p>
    <w:p w14:paraId="7BCD36FA" w14:textId="77777777" w:rsidR="00C114FF" w:rsidRPr="00C21BDD" w:rsidRDefault="00C114FF" w:rsidP="00A9226B">
      <w:pPr>
        <w:tabs>
          <w:tab w:val="clear" w:pos="567"/>
        </w:tabs>
        <w:spacing w:line="240" w:lineRule="auto"/>
        <w:rPr>
          <w:iCs/>
          <w:szCs w:val="22"/>
        </w:rPr>
      </w:pPr>
    </w:p>
    <w:p w14:paraId="0D1FF366" w14:textId="313A9ACB" w:rsidR="00C817DA" w:rsidRPr="00C21BDD" w:rsidRDefault="002E7C49" w:rsidP="00C817DA">
      <w:pPr>
        <w:tabs>
          <w:tab w:val="clear" w:pos="567"/>
        </w:tabs>
        <w:spacing w:line="240" w:lineRule="auto"/>
        <w:rPr>
          <w:szCs w:val="22"/>
        </w:rPr>
      </w:pPr>
      <w:r>
        <w:rPr>
          <w:szCs w:val="22"/>
        </w:rPr>
        <w:t>Každý</w:t>
      </w:r>
      <w:r w:rsidR="00966F6E" w:rsidRPr="00C21BDD">
        <w:rPr>
          <w:szCs w:val="22"/>
        </w:rPr>
        <w:t xml:space="preserve"> </w:t>
      </w:r>
      <w:r w:rsidR="00C817DA" w:rsidRPr="00C21BDD">
        <w:rPr>
          <w:szCs w:val="22"/>
        </w:rPr>
        <w:t xml:space="preserve">ml obsahuje: </w:t>
      </w:r>
    </w:p>
    <w:p w14:paraId="04BF926D" w14:textId="77777777" w:rsidR="00C817DA" w:rsidRPr="00C21BDD" w:rsidRDefault="00C817DA" w:rsidP="00C817DA">
      <w:pPr>
        <w:spacing w:line="240" w:lineRule="auto"/>
        <w:rPr>
          <w:b/>
          <w:bCs/>
          <w:noProof/>
          <w:szCs w:val="22"/>
        </w:rPr>
      </w:pPr>
    </w:p>
    <w:p w14:paraId="1DC946AE" w14:textId="2B0E82AF" w:rsidR="00C817DA" w:rsidRPr="00C21BDD" w:rsidRDefault="00C817DA" w:rsidP="00C817DA">
      <w:pPr>
        <w:spacing w:line="240" w:lineRule="auto"/>
        <w:rPr>
          <w:b/>
          <w:noProof/>
          <w:szCs w:val="22"/>
        </w:rPr>
      </w:pPr>
      <w:r w:rsidRPr="00C21BDD">
        <w:rPr>
          <w:b/>
          <w:bCs/>
          <w:noProof/>
          <w:szCs w:val="22"/>
        </w:rPr>
        <w:t>Léčivá látka</w:t>
      </w:r>
      <w:r w:rsidR="002E7C49">
        <w:rPr>
          <w:b/>
          <w:bCs/>
          <w:noProof/>
          <w:szCs w:val="22"/>
        </w:rPr>
        <w:t>:</w:t>
      </w:r>
    </w:p>
    <w:p w14:paraId="33806C09" w14:textId="329297EC" w:rsidR="00966F6E" w:rsidRDefault="00C817DA" w:rsidP="00A127A9">
      <w:pPr>
        <w:tabs>
          <w:tab w:val="clear" w:pos="567"/>
          <w:tab w:val="right" w:pos="3969"/>
        </w:tabs>
        <w:spacing w:line="240" w:lineRule="auto"/>
        <w:rPr>
          <w:noProof/>
          <w:szCs w:val="22"/>
        </w:rPr>
      </w:pPr>
      <w:r w:rsidRPr="00C21BDD">
        <w:rPr>
          <w:noProof/>
          <w:szCs w:val="22"/>
        </w:rPr>
        <w:t xml:space="preserve">Pentobarbitalum </w:t>
      </w:r>
      <w:r w:rsidR="009A5B26">
        <w:rPr>
          <w:noProof/>
          <w:szCs w:val="22"/>
        </w:rPr>
        <w:tab/>
      </w:r>
      <w:r w:rsidR="00966F6E" w:rsidRPr="00C21BDD">
        <w:rPr>
          <w:noProof/>
          <w:szCs w:val="22"/>
        </w:rPr>
        <w:t>455,7</w:t>
      </w:r>
      <w:r w:rsidRPr="00C21BDD">
        <w:rPr>
          <w:noProof/>
          <w:szCs w:val="22"/>
        </w:rPr>
        <w:t> mg</w:t>
      </w:r>
    </w:p>
    <w:p w14:paraId="4DA944A5" w14:textId="38706516" w:rsidR="00C817DA" w:rsidRPr="00C21BDD" w:rsidRDefault="00C817DA" w:rsidP="00C817DA">
      <w:pPr>
        <w:spacing w:line="240" w:lineRule="auto"/>
        <w:rPr>
          <w:noProof/>
          <w:szCs w:val="22"/>
        </w:rPr>
      </w:pPr>
      <w:r w:rsidRPr="00C21BDD">
        <w:rPr>
          <w:noProof/>
          <w:szCs w:val="22"/>
        </w:rPr>
        <w:t xml:space="preserve">(odpovídá </w:t>
      </w:r>
      <w:r w:rsidR="00966F6E" w:rsidRPr="00C21BDD">
        <w:rPr>
          <w:noProof/>
          <w:szCs w:val="22"/>
        </w:rPr>
        <w:t>500</w:t>
      </w:r>
      <w:r w:rsidR="00966F6E">
        <w:rPr>
          <w:noProof/>
          <w:szCs w:val="22"/>
        </w:rPr>
        <w:t> </w:t>
      </w:r>
      <w:r w:rsidRPr="00C21BDD">
        <w:rPr>
          <w:noProof/>
          <w:szCs w:val="22"/>
        </w:rPr>
        <w:t>mg pentobarbitalum</w:t>
      </w:r>
      <w:r w:rsidR="00966F6E" w:rsidRPr="00966F6E">
        <w:rPr>
          <w:noProof/>
          <w:szCs w:val="22"/>
        </w:rPr>
        <w:t xml:space="preserve"> </w:t>
      </w:r>
      <w:r w:rsidR="00966F6E" w:rsidRPr="00C21BDD">
        <w:rPr>
          <w:noProof/>
          <w:szCs w:val="22"/>
        </w:rPr>
        <w:t>natricum</w:t>
      </w:r>
      <w:r w:rsidRPr="00C21BDD">
        <w:rPr>
          <w:noProof/>
          <w:szCs w:val="22"/>
        </w:rPr>
        <w:t>)</w:t>
      </w:r>
    </w:p>
    <w:p w14:paraId="5C6A62F5" w14:textId="77777777" w:rsidR="00C817DA" w:rsidRPr="00C21BDD" w:rsidRDefault="00C817DA" w:rsidP="00C817DA">
      <w:pPr>
        <w:spacing w:line="240" w:lineRule="auto"/>
        <w:rPr>
          <w:b/>
          <w:bCs/>
          <w:noProof/>
          <w:szCs w:val="22"/>
        </w:rPr>
      </w:pPr>
    </w:p>
    <w:p w14:paraId="71BB5A0F" w14:textId="4CC869C4" w:rsidR="00C817DA" w:rsidRPr="00C21BDD" w:rsidRDefault="00C817DA" w:rsidP="00C817DA">
      <w:pPr>
        <w:spacing w:line="240" w:lineRule="auto"/>
        <w:rPr>
          <w:b/>
          <w:noProof/>
          <w:szCs w:val="22"/>
        </w:rPr>
      </w:pPr>
      <w:r w:rsidRPr="00C21BDD">
        <w:rPr>
          <w:b/>
          <w:bCs/>
          <w:noProof/>
          <w:szCs w:val="22"/>
        </w:rPr>
        <w:t>Pomocné látky</w:t>
      </w:r>
      <w:r w:rsidR="00966F6E">
        <w:rPr>
          <w:b/>
          <w:bCs/>
          <w:noProof/>
          <w:szCs w:val="22"/>
        </w:rPr>
        <w:t>:</w:t>
      </w:r>
    </w:p>
    <w:p w14:paraId="3B7AF5C6" w14:textId="4AE2E00C" w:rsidR="00C817DA" w:rsidRPr="00C21BDD" w:rsidRDefault="00C817DA" w:rsidP="00C817DA">
      <w:pPr>
        <w:spacing w:line="240" w:lineRule="auto"/>
        <w:rPr>
          <w:noProof/>
          <w:szCs w:val="22"/>
        </w:rPr>
      </w:pPr>
      <w:r w:rsidRPr="00C21BDD">
        <w:rPr>
          <w:noProof/>
          <w:szCs w:val="22"/>
        </w:rPr>
        <w:t>Patentní modř V (E131) 0,01 mg</w:t>
      </w:r>
    </w:p>
    <w:p w14:paraId="77337E60" w14:textId="77777777" w:rsidR="00C817DA" w:rsidRPr="00C21BDD" w:rsidRDefault="00C817DA" w:rsidP="00C817DA">
      <w:pPr>
        <w:tabs>
          <w:tab w:val="clear" w:pos="567"/>
        </w:tabs>
        <w:spacing w:line="240" w:lineRule="auto"/>
        <w:rPr>
          <w:szCs w:val="22"/>
        </w:rPr>
      </w:pPr>
    </w:p>
    <w:p w14:paraId="0D8413BA" w14:textId="77777777" w:rsidR="00C817DA" w:rsidRPr="00C21BDD" w:rsidRDefault="00C817DA" w:rsidP="00C817DA">
      <w:pPr>
        <w:tabs>
          <w:tab w:val="clear" w:pos="567"/>
        </w:tabs>
        <w:spacing w:line="240" w:lineRule="auto"/>
        <w:rPr>
          <w:szCs w:val="22"/>
        </w:rPr>
      </w:pPr>
      <w:r w:rsidRPr="00C21BDD">
        <w:rPr>
          <w:szCs w:val="22"/>
        </w:rPr>
        <w:t>Čirý modrý vodný roztok.</w:t>
      </w:r>
    </w:p>
    <w:p w14:paraId="0AC31686" w14:textId="77777777" w:rsidR="00C114FF" w:rsidRPr="00C21BDD" w:rsidRDefault="00C114FF" w:rsidP="00A9226B">
      <w:pPr>
        <w:tabs>
          <w:tab w:val="clear" w:pos="567"/>
        </w:tabs>
        <w:spacing w:line="240" w:lineRule="auto"/>
        <w:rPr>
          <w:szCs w:val="22"/>
        </w:rPr>
      </w:pPr>
    </w:p>
    <w:p w14:paraId="1451D9E3" w14:textId="77777777" w:rsidR="00C817DA" w:rsidRPr="00C21BDD" w:rsidRDefault="00C817DA" w:rsidP="00A9226B">
      <w:pPr>
        <w:tabs>
          <w:tab w:val="clear" w:pos="567"/>
        </w:tabs>
        <w:spacing w:line="240" w:lineRule="auto"/>
        <w:rPr>
          <w:szCs w:val="22"/>
        </w:rPr>
      </w:pPr>
    </w:p>
    <w:p w14:paraId="7943D656" w14:textId="77777777" w:rsidR="00C114FF" w:rsidRPr="00C21BDD" w:rsidRDefault="00C605FD" w:rsidP="00B13B6D">
      <w:pPr>
        <w:pStyle w:val="Style1"/>
      </w:pPr>
      <w:r w:rsidRPr="00C21BDD">
        <w:rPr>
          <w:highlight w:val="lightGray"/>
        </w:rPr>
        <w:t>3.</w:t>
      </w:r>
      <w:r w:rsidRPr="00C21BDD">
        <w:tab/>
        <w:t>Cílové druhy zvířat</w:t>
      </w:r>
    </w:p>
    <w:p w14:paraId="3A82A245" w14:textId="77777777" w:rsidR="00C114FF" w:rsidRPr="00C21BDD" w:rsidRDefault="00C114FF" w:rsidP="00A9226B">
      <w:pPr>
        <w:tabs>
          <w:tab w:val="clear" w:pos="567"/>
        </w:tabs>
        <w:spacing w:line="240" w:lineRule="auto"/>
        <w:rPr>
          <w:szCs w:val="22"/>
        </w:rPr>
      </w:pPr>
    </w:p>
    <w:p w14:paraId="69CEFF07" w14:textId="084A5BAB" w:rsidR="00C817DA" w:rsidRPr="00C21BDD" w:rsidRDefault="00211374" w:rsidP="00A127A9">
      <w:pPr>
        <w:spacing w:line="240" w:lineRule="auto"/>
        <w:rPr>
          <w:noProof/>
          <w:color w:val="555555"/>
          <w:szCs w:val="22"/>
        </w:rPr>
      </w:pPr>
      <w:r>
        <w:rPr>
          <w:szCs w:val="22"/>
        </w:rPr>
        <w:t>Psi, kočky, hlodavci, králíci, skot, ovce, kozy, prasata, koně a norci.</w:t>
      </w:r>
    </w:p>
    <w:p w14:paraId="409802D0" w14:textId="77777777" w:rsidR="00C114FF" w:rsidRPr="00C21BDD" w:rsidRDefault="00C114FF" w:rsidP="00A9226B">
      <w:pPr>
        <w:tabs>
          <w:tab w:val="clear" w:pos="567"/>
        </w:tabs>
        <w:spacing w:line="240" w:lineRule="auto"/>
        <w:rPr>
          <w:szCs w:val="22"/>
        </w:rPr>
      </w:pPr>
    </w:p>
    <w:p w14:paraId="54FC15A5" w14:textId="77777777" w:rsidR="00C817DA" w:rsidRPr="00C21BDD" w:rsidRDefault="00C817DA" w:rsidP="00A9226B">
      <w:pPr>
        <w:tabs>
          <w:tab w:val="clear" w:pos="567"/>
        </w:tabs>
        <w:spacing w:line="240" w:lineRule="auto"/>
        <w:rPr>
          <w:szCs w:val="22"/>
        </w:rPr>
      </w:pPr>
    </w:p>
    <w:p w14:paraId="22B0C5EC" w14:textId="77777777" w:rsidR="00C114FF" w:rsidRPr="00C21BDD" w:rsidRDefault="00C605FD" w:rsidP="00B13B6D">
      <w:pPr>
        <w:pStyle w:val="Style1"/>
      </w:pPr>
      <w:r w:rsidRPr="00C21BDD">
        <w:rPr>
          <w:highlight w:val="lightGray"/>
        </w:rPr>
        <w:t>4.</w:t>
      </w:r>
      <w:r w:rsidRPr="00C21BDD">
        <w:tab/>
        <w:t>Indikace pro použití</w:t>
      </w:r>
    </w:p>
    <w:p w14:paraId="72A5B8D6" w14:textId="77777777" w:rsidR="00C114FF" w:rsidRPr="00C21BDD" w:rsidRDefault="00C114FF" w:rsidP="00A9226B">
      <w:pPr>
        <w:tabs>
          <w:tab w:val="clear" w:pos="567"/>
        </w:tabs>
        <w:spacing w:line="240" w:lineRule="auto"/>
        <w:rPr>
          <w:szCs w:val="22"/>
        </w:rPr>
      </w:pPr>
    </w:p>
    <w:p w14:paraId="12CBFB90" w14:textId="77777777" w:rsidR="00C817DA" w:rsidRPr="00C21BDD" w:rsidRDefault="00C817DA" w:rsidP="00C817DA">
      <w:pPr>
        <w:spacing w:line="240" w:lineRule="auto"/>
        <w:rPr>
          <w:szCs w:val="22"/>
        </w:rPr>
      </w:pPr>
      <w:r w:rsidRPr="00C21BDD">
        <w:rPr>
          <w:szCs w:val="22"/>
        </w:rPr>
        <w:t>Eutanazie.</w:t>
      </w:r>
    </w:p>
    <w:p w14:paraId="5AB0DC3B" w14:textId="77777777" w:rsidR="00C114FF" w:rsidRPr="00C21BDD" w:rsidRDefault="00C114FF" w:rsidP="00A9226B">
      <w:pPr>
        <w:tabs>
          <w:tab w:val="clear" w:pos="567"/>
        </w:tabs>
        <w:spacing w:line="240" w:lineRule="auto"/>
        <w:rPr>
          <w:szCs w:val="22"/>
        </w:rPr>
      </w:pPr>
    </w:p>
    <w:p w14:paraId="014F01A4" w14:textId="77777777" w:rsidR="00C817DA" w:rsidRPr="00C21BDD" w:rsidRDefault="00C817DA" w:rsidP="00A9226B">
      <w:pPr>
        <w:tabs>
          <w:tab w:val="clear" w:pos="567"/>
        </w:tabs>
        <w:spacing w:line="240" w:lineRule="auto"/>
        <w:rPr>
          <w:szCs w:val="22"/>
        </w:rPr>
      </w:pPr>
    </w:p>
    <w:p w14:paraId="4DFDB241" w14:textId="77777777" w:rsidR="00C114FF" w:rsidRPr="00C21BDD" w:rsidRDefault="00C605FD" w:rsidP="00B13B6D">
      <w:pPr>
        <w:pStyle w:val="Style1"/>
      </w:pPr>
      <w:r w:rsidRPr="00C21BDD">
        <w:rPr>
          <w:highlight w:val="lightGray"/>
        </w:rPr>
        <w:t>5.</w:t>
      </w:r>
      <w:r w:rsidRPr="00C21BDD">
        <w:tab/>
        <w:t>Kontraindikace</w:t>
      </w:r>
    </w:p>
    <w:p w14:paraId="18AC33E5" w14:textId="77777777" w:rsidR="00C114FF" w:rsidRPr="00C21BDD" w:rsidRDefault="00C114FF" w:rsidP="00A9226B">
      <w:pPr>
        <w:tabs>
          <w:tab w:val="clear" w:pos="567"/>
        </w:tabs>
        <w:spacing w:line="240" w:lineRule="auto"/>
        <w:rPr>
          <w:szCs w:val="22"/>
        </w:rPr>
      </w:pPr>
    </w:p>
    <w:p w14:paraId="1AE29383" w14:textId="77777777" w:rsidR="00C817DA" w:rsidRPr="00C21BDD" w:rsidRDefault="00C817DA" w:rsidP="00C817DA">
      <w:pPr>
        <w:spacing w:line="240" w:lineRule="auto"/>
        <w:rPr>
          <w:szCs w:val="22"/>
        </w:rPr>
      </w:pPr>
      <w:r w:rsidRPr="00C21BDD">
        <w:rPr>
          <w:szCs w:val="22"/>
        </w:rPr>
        <w:t>Nepoužívat k anestézii.</w:t>
      </w:r>
    </w:p>
    <w:p w14:paraId="214F8839" w14:textId="77777777" w:rsidR="00EB457B" w:rsidRPr="00C21BDD" w:rsidRDefault="00EB457B" w:rsidP="00EB1A80">
      <w:pPr>
        <w:tabs>
          <w:tab w:val="clear" w:pos="567"/>
        </w:tabs>
        <w:spacing w:line="240" w:lineRule="auto"/>
        <w:rPr>
          <w:szCs w:val="22"/>
        </w:rPr>
      </w:pPr>
    </w:p>
    <w:p w14:paraId="31AB87C6" w14:textId="77777777" w:rsidR="00C817DA" w:rsidRPr="00C21BDD" w:rsidRDefault="00C817DA" w:rsidP="00EB1A80">
      <w:pPr>
        <w:tabs>
          <w:tab w:val="clear" w:pos="567"/>
        </w:tabs>
        <w:spacing w:line="240" w:lineRule="auto"/>
        <w:rPr>
          <w:szCs w:val="22"/>
        </w:rPr>
      </w:pPr>
    </w:p>
    <w:p w14:paraId="0329B6BF" w14:textId="77777777" w:rsidR="00C114FF" w:rsidRPr="00C21BDD" w:rsidRDefault="00C605FD" w:rsidP="00B13B6D">
      <w:pPr>
        <w:pStyle w:val="Style1"/>
      </w:pPr>
      <w:r w:rsidRPr="00C21BDD">
        <w:rPr>
          <w:highlight w:val="lightGray"/>
        </w:rPr>
        <w:t>6.</w:t>
      </w:r>
      <w:r w:rsidRPr="00C21BDD">
        <w:tab/>
        <w:t>Zvláštní upozornění</w:t>
      </w:r>
    </w:p>
    <w:p w14:paraId="72546E2A" w14:textId="77777777" w:rsidR="00C114FF" w:rsidRPr="00C21BDD" w:rsidRDefault="00C114FF" w:rsidP="00A9226B">
      <w:pPr>
        <w:tabs>
          <w:tab w:val="clear" w:pos="567"/>
        </w:tabs>
        <w:spacing w:line="240" w:lineRule="auto"/>
        <w:rPr>
          <w:szCs w:val="22"/>
        </w:rPr>
      </w:pPr>
    </w:p>
    <w:p w14:paraId="78E128C8" w14:textId="3227D672" w:rsidR="00F354C5" w:rsidRPr="00C21BDD" w:rsidRDefault="00C605FD" w:rsidP="00F354C5">
      <w:pPr>
        <w:tabs>
          <w:tab w:val="clear" w:pos="567"/>
        </w:tabs>
        <w:spacing w:line="240" w:lineRule="auto"/>
        <w:rPr>
          <w:szCs w:val="22"/>
        </w:rPr>
      </w:pPr>
      <w:r w:rsidRPr="00C21BDD">
        <w:rPr>
          <w:szCs w:val="22"/>
          <w:u w:val="single"/>
        </w:rPr>
        <w:t>Zvláštní upozornění</w:t>
      </w:r>
      <w:r w:rsidRPr="00C21BDD">
        <w:t>:</w:t>
      </w:r>
    </w:p>
    <w:p w14:paraId="016C50E5" w14:textId="77777777" w:rsidR="00C817DA" w:rsidRPr="00C21BDD" w:rsidRDefault="00C817DA" w:rsidP="00C817DA">
      <w:pPr>
        <w:spacing w:line="240" w:lineRule="auto"/>
        <w:jc w:val="both"/>
        <w:rPr>
          <w:szCs w:val="22"/>
        </w:rPr>
      </w:pPr>
      <w:r w:rsidRPr="00C21BDD">
        <w:rPr>
          <w:szCs w:val="22"/>
        </w:rPr>
        <w:t>Intravenózní podání pentobarbitalu může u řady druhů zvířat způsobit excitaci, a pokud veterinární lékař uzná za nutné, měla by být provedena dostatečná sedace zvířete. U koní, skotu a prasat je nutné použít premedikaci vhodným sedativem a před provedením eutanazie tato zvířata uvést do hluboké sedace. Musí být přijata opatření k zabránění perivaskulárního podání přípravku (např. pomocí intravenózního katétru).</w:t>
      </w:r>
    </w:p>
    <w:p w14:paraId="33681B69" w14:textId="77777777" w:rsidR="00C817DA" w:rsidRPr="00C21BDD" w:rsidRDefault="00C817DA" w:rsidP="00C817DA">
      <w:pPr>
        <w:spacing w:line="240" w:lineRule="auto"/>
        <w:jc w:val="both"/>
        <w:rPr>
          <w:szCs w:val="22"/>
        </w:rPr>
      </w:pPr>
    </w:p>
    <w:p w14:paraId="3BF06A28" w14:textId="77777777" w:rsidR="00C817DA" w:rsidRPr="00C21BDD" w:rsidRDefault="00C817DA" w:rsidP="00C817DA">
      <w:pPr>
        <w:spacing w:line="240" w:lineRule="auto"/>
        <w:jc w:val="both"/>
        <w:rPr>
          <w:szCs w:val="22"/>
        </w:rPr>
      </w:pPr>
      <w:r w:rsidRPr="00C21BDD">
        <w:rPr>
          <w:szCs w:val="22"/>
        </w:rPr>
        <w:t xml:space="preserve">U prasat bylo prokázáno, že existuje přímý vztah mezi držením a úrovní excitace a agitace. Z tohoto důvodu by injekční podání u prasat mělo být provedeno s co nejmenším nezbytným držením. Vzhledem k obtížnosti bezpečného intravenózního podání u prasat je nutná odpovídající sedace zvířat před i.v. podáním pentobarbitalu. </w:t>
      </w:r>
    </w:p>
    <w:p w14:paraId="11254BCD" w14:textId="77777777" w:rsidR="00C817DA" w:rsidRPr="00C21BDD" w:rsidRDefault="00C817DA" w:rsidP="00C817DA">
      <w:pPr>
        <w:spacing w:line="240" w:lineRule="auto"/>
        <w:jc w:val="both"/>
        <w:rPr>
          <w:szCs w:val="22"/>
        </w:rPr>
      </w:pPr>
    </w:p>
    <w:p w14:paraId="5ED9A960" w14:textId="77777777" w:rsidR="00C817DA" w:rsidRPr="00C21BDD" w:rsidRDefault="00C817DA" w:rsidP="00C817DA">
      <w:pPr>
        <w:spacing w:line="240" w:lineRule="auto"/>
        <w:jc w:val="both"/>
        <w:rPr>
          <w:szCs w:val="22"/>
        </w:rPr>
      </w:pPr>
      <w:r w:rsidRPr="00C21BDD">
        <w:rPr>
          <w:szCs w:val="22"/>
        </w:rPr>
        <w:t>Intraperitoneální podání může způsobit opožděný nástup účinku se zvýšeným rizikem vyvolání excitace. Intraperitoneální podání se smí používat pouze po odpovídající sedaci. Je nutné přijmout opatření, která zabrání podání přípravku do sleziny nebo orgánů/tkání, ze kterých dochází k nízké absorpci přípravku. Tento způsob podání je vhodný pouze pro malá zvířata.</w:t>
      </w:r>
    </w:p>
    <w:p w14:paraId="5F43A0AA" w14:textId="77777777" w:rsidR="00C817DA" w:rsidRPr="00C21BDD" w:rsidRDefault="00C817DA" w:rsidP="00C817DA">
      <w:pPr>
        <w:spacing w:line="240" w:lineRule="auto"/>
        <w:jc w:val="both"/>
        <w:rPr>
          <w:szCs w:val="22"/>
        </w:rPr>
      </w:pPr>
    </w:p>
    <w:p w14:paraId="40777CF7" w14:textId="77777777" w:rsidR="00C817DA" w:rsidRPr="00C21BDD" w:rsidRDefault="00C817DA" w:rsidP="00C817DA">
      <w:pPr>
        <w:spacing w:line="240" w:lineRule="auto"/>
        <w:jc w:val="both"/>
        <w:rPr>
          <w:szCs w:val="22"/>
        </w:rPr>
      </w:pPr>
      <w:r w:rsidRPr="00C21BDD">
        <w:rPr>
          <w:szCs w:val="22"/>
        </w:rPr>
        <w:t>Intrakardiální podání lze použít pouze tehdy, když je zvíře v hluboké sedaci, v bezvědomí nebo je v celkové anestézii.</w:t>
      </w:r>
    </w:p>
    <w:p w14:paraId="70E67B29" w14:textId="77777777" w:rsidR="00F354C5" w:rsidRPr="00C21BDD" w:rsidRDefault="00F354C5" w:rsidP="00F354C5">
      <w:pPr>
        <w:tabs>
          <w:tab w:val="clear" w:pos="567"/>
        </w:tabs>
        <w:spacing w:line="240" w:lineRule="auto"/>
        <w:rPr>
          <w:szCs w:val="22"/>
        </w:rPr>
      </w:pPr>
    </w:p>
    <w:p w14:paraId="550FD37F" w14:textId="60A28661" w:rsidR="00F354C5" w:rsidRPr="00C21BDD" w:rsidRDefault="00C605FD" w:rsidP="00F354C5">
      <w:pPr>
        <w:tabs>
          <w:tab w:val="clear" w:pos="567"/>
        </w:tabs>
        <w:spacing w:line="240" w:lineRule="auto"/>
        <w:rPr>
          <w:szCs w:val="22"/>
        </w:rPr>
      </w:pPr>
      <w:r w:rsidRPr="00C21BDD">
        <w:rPr>
          <w:szCs w:val="22"/>
          <w:u w:val="single"/>
        </w:rPr>
        <w:t>Zvláštní opatření pro bezpečné použití u cílových druhů zvířat</w:t>
      </w:r>
      <w:r w:rsidRPr="00C21BDD">
        <w:t>:</w:t>
      </w:r>
    </w:p>
    <w:p w14:paraId="3D76D3BF" w14:textId="77777777" w:rsidR="00C817DA" w:rsidRPr="00C21BDD" w:rsidRDefault="00C817DA" w:rsidP="00C817DA">
      <w:pPr>
        <w:spacing w:line="240" w:lineRule="auto"/>
        <w:jc w:val="both"/>
        <w:rPr>
          <w:szCs w:val="22"/>
        </w:rPr>
      </w:pPr>
      <w:r w:rsidRPr="00C21BDD">
        <w:rPr>
          <w:szCs w:val="22"/>
        </w:rPr>
        <w:t>V případě náhodného podání zvířeti, u něhož nemá být provedena eutanazie, jsou vhodná opatření jako umělé dýchání, podání kyslíku a užití analeptik.</w:t>
      </w:r>
    </w:p>
    <w:p w14:paraId="12A611B1" w14:textId="77777777" w:rsidR="00C817DA" w:rsidRPr="00C21BDD" w:rsidRDefault="00C817DA" w:rsidP="00C817DA">
      <w:pPr>
        <w:spacing w:line="240" w:lineRule="auto"/>
        <w:jc w:val="both"/>
        <w:rPr>
          <w:szCs w:val="22"/>
        </w:rPr>
      </w:pPr>
    </w:p>
    <w:p w14:paraId="08017BD6" w14:textId="77777777" w:rsidR="00C817DA" w:rsidRPr="00C21BDD" w:rsidRDefault="00C817DA" w:rsidP="00C817DA">
      <w:pPr>
        <w:spacing w:line="240" w:lineRule="auto"/>
        <w:jc w:val="both"/>
        <w:rPr>
          <w:szCs w:val="22"/>
        </w:rPr>
      </w:pPr>
      <w:r w:rsidRPr="00C21BDD">
        <w:rPr>
          <w:szCs w:val="22"/>
        </w:rPr>
        <w:t>Pokud eutanazii má podstoupit agresivní zvíře, doporučuje se premedikace snadněji podávaným (perorální, subkutánní nebo intramuskulární) sedativem.</w:t>
      </w:r>
    </w:p>
    <w:p w14:paraId="3BF86DA0" w14:textId="77777777" w:rsidR="00C817DA" w:rsidRPr="00C21BDD" w:rsidRDefault="00C817DA" w:rsidP="00C817DA">
      <w:pPr>
        <w:spacing w:line="240" w:lineRule="auto"/>
        <w:jc w:val="both"/>
        <w:rPr>
          <w:szCs w:val="22"/>
        </w:rPr>
      </w:pPr>
    </w:p>
    <w:p w14:paraId="44926565" w14:textId="77777777" w:rsidR="00C817DA" w:rsidRPr="00C21BDD" w:rsidRDefault="00C817DA" w:rsidP="00C817DA">
      <w:pPr>
        <w:spacing w:line="240" w:lineRule="auto"/>
        <w:jc w:val="both"/>
        <w:rPr>
          <w:szCs w:val="22"/>
        </w:rPr>
      </w:pPr>
      <w:r w:rsidRPr="00C21BDD">
        <w:rPr>
          <w:szCs w:val="22"/>
        </w:rPr>
        <w:t xml:space="preserve">Ke snížení rizika vyvolání excitace by eutanazie měla být provedena v klidném prostředí. </w:t>
      </w:r>
    </w:p>
    <w:p w14:paraId="3F48BE77" w14:textId="77777777" w:rsidR="00C817DA" w:rsidRPr="00C21BDD" w:rsidRDefault="00C817DA" w:rsidP="00C817DA">
      <w:pPr>
        <w:spacing w:line="240" w:lineRule="auto"/>
        <w:jc w:val="both"/>
        <w:rPr>
          <w:szCs w:val="22"/>
        </w:rPr>
      </w:pPr>
    </w:p>
    <w:p w14:paraId="64BFAED9" w14:textId="77777777" w:rsidR="00C817DA" w:rsidRPr="00C21BDD" w:rsidRDefault="00C817DA" w:rsidP="00C817DA">
      <w:pPr>
        <w:spacing w:line="240" w:lineRule="auto"/>
        <w:jc w:val="both"/>
        <w:rPr>
          <w:szCs w:val="22"/>
        </w:rPr>
      </w:pPr>
      <w:r w:rsidRPr="00C21BDD">
        <w:rPr>
          <w:szCs w:val="22"/>
        </w:rPr>
        <w:t xml:space="preserve">U koní a skotu musí být k dispozici pro případ nutnosti náhradní způsob eutanazie. </w:t>
      </w:r>
    </w:p>
    <w:p w14:paraId="5B3195DD" w14:textId="77777777" w:rsidR="00F354C5" w:rsidRPr="00C21BDD" w:rsidRDefault="00F354C5" w:rsidP="00F354C5">
      <w:pPr>
        <w:tabs>
          <w:tab w:val="clear" w:pos="567"/>
        </w:tabs>
        <w:spacing w:line="240" w:lineRule="auto"/>
        <w:rPr>
          <w:szCs w:val="22"/>
        </w:rPr>
      </w:pPr>
    </w:p>
    <w:p w14:paraId="3875BAAB" w14:textId="77777777" w:rsidR="00C817DA" w:rsidRPr="00C21BDD" w:rsidRDefault="00C605FD" w:rsidP="00DC1FEA">
      <w:pPr>
        <w:keepNext/>
        <w:tabs>
          <w:tab w:val="clear" w:pos="567"/>
        </w:tabs>
        <w:spacing w:line="240" w:lineRule="auto"/>
      </w:pPr>
      <w:r w:rsidRPr="00C21BDD">
        <w:rPr>
          <w:szCs w:val="22"/>
          <w:u w:val="single"/>
        </w:rPr>
        <w:t>Zvláštní opatření pro osobu, která podává veterinární léčivý přípravek zvířatům</w:t>
      </w:r>
      <w:r w:rsidRPr="00C21BDD">
        <w:t>:</w:t>
      </w:r>
    </w:p>
    <w:p w14:paraId="2A6D3EB3" w14:textId="6A58BDDD" w:rsidR="00C817DA" w:rsidRPr="00C21BDD" w:rsidRDefault="00AB5B4F" w:rsidP="00C817DA">
      <w:pPr>
        <w:tabs>
          <w:tab w:val="clear" w:pos="567"/>
        </w:tabs>
        <w:spacing w:line="240" w:lineRule="auto"/>
        <w:rPr>
          <w:szCs w:val="22"/>
        </w:rPr>
      </w:pPr>
      <w:r>
        <w:rPr>
          <w:szCs w:val="22"/>
        </w:rPr>
        <w:t>P</w:t>
      </w:r>
      <w:r w:rsidRPr="00C21BDD">
        <w:rPr>
          <w:szCs w:val="22"/>
        </w:rPr>
        <w:t xml:space="preserve">ouze </w:t>
      </w:r>
      <w:r w:rsidR="00CE3A8A">
        <w:rPr>
          <w:szCs w:val="22"/>
        </w:rPr>
        <w:t>p</w:t>
      </w:r>
      <w:r w:rsidR="00CE3A8A" w:rsidRPr="00C21BDD">
        <w:rPr>
          <w:szCs w:val="22"/>
        </w:rPr>
        <w:t xml:space="preserve">ro </w:t>
      </w:r>
      <w:r w:rsidR="00C817DA" w:rsidRPr="00C21BDD">
        <w:rPr>
          <w:szCs w:val="22"/>
        </w:rPr>
        <w:t>použití veterinárním lékařem.</w:t>
      </w:r>
    </w:p>
    <w:p w14:paraId="3C0B22FB" w14:textId="77777777" w:rsidR="00C817DA" w:rsidRPr="00C21BDD" w:rsidRDefault="00C817DA" w:rsidP="00C817DA">
      <w:pPr>
        <w:spacing w:line="240" w:lineRule="auto"/>
        <w:jc w:val="both"/>
        <w:rPr>
          <w:szCs w:val="22"/>
        </w:rPr>
      </w:pPr>
    </w:p>
    <w:p w14:paraId="1249DBBE" w14:textId="36470C40" w:rsidR="00C817DA" w:rsidRPr="00C21BDD" w:rsidRDefault="00C817DA" w:rsidP="00C817DA">
      <w:pPr>
        <w:spacing w:line="240" w:lineRule="auto"/>
        <w:jc w:val="both"/>
        <w:rPr>
          <w:szCs w:val="22"/>
        </w:rPr>
      </w:pPr>
      <w:r w:rsidRPr="00C21BDD">
        <w:rPr>
          <w:szCs w:val="22"/>
        </w:rPr>
        <w:t xml:space="preserve">Pentobarbital je silné hypnotikum a sedativum, které je toxické pro člověka. Může se systémově vstřebávat kůží nebo očima a při požití. Systémová absorpce pentobarbitalu (včetně absorpce kůží nebo v důsledku zasažení oka) způsobuje útlum, navození spánku, </w:t>
      </w:r>
      <w:r w:rsidR="00DD17CF">
        <w:rPr>
          <w:szCs w:val="22"/>
        </w:rPr>
        <w:t xml:space="preserve">útlum </w:t>
      </w:r>
      <w:r w:rsidRPr="00C21BDD">
        <w:rPr>
          <w:szCs w:val="22"/>
        </w:rPr>
        <w:t xml:space="preserve">CNS a </w:t>
      </w:r>
      <w:r w:rsidR="00DD17CF">
        <w:rPr>
          <w:szCs w:val="22"/>
        </w:rPr>
        <w:t>dýchání</w:t>
      </w:r>
      <w:r w:rsidRPr="00C21BDD">
        <w:rPr>
          <w:szCs w:val="22"/>
        </w:rPr>
        <w:t xml:space="preserve">. Zvláštní pozornost je nutné věnovat tomu, aby nedošlo k náhodnému požití nebo </w:t>
      </w:r>
      <w:proofErr w:type="spellStart"/>
      <w:r w:rsidR="00DD17CF">
        <w:rPr>
          <w:szCs w:val="22"/>
        </w:rPr>
        <w:t>samopodání</w:t>
      </w:r>
      <w:proofErr w:type="spellEnd"/>
      <w:r w:rsidRPr="00C21BDD">
        <w:rPr>
          <w:szCs w:val="22"/>
        </w:rPr>
        <w:t xml:space="preserve">. </w:t>
      </w:r>
      <w:r w:rsidR="00DD17CF">
        <w:rPr>
          <w:szCs w:val="22"/>
        </w:rPr>
        <w:t xml:space="preserve">Aby nedošlo k náhodnému </w:t>
      </w:r>
      <w:proofErr w:type="spellStart"/>
      <w:r w:rsidR="00DD17CF">
        <w:rPr>
          <w:szCs w:val="22"/>
        </w:rPr>
        <w:t>samopodání</w:t>
      </w:r>
      <w:proofErr w:type="spellEnd"/>
      <w:r w:rsidR="00DD17CF">
        <w:rPr>
          <w:szCs w:val="22"/>
        </w:rPr>
        <w:t>, přenášejte tento veterinární léčivý přípravek pouze ve stříkačce bez jehly</w:t>
      </w:r>
      <w:r w:rsidRPr="00C21BDD">
        <w:rPr>
          <w:szCs w:val="22"/>
        </w:rPr>
        <w:t>.</w:t>
      </w:r>
    </w:p>
    <w:p w14:paraId="367FB25C" w14:textId="77777777" w:rsidR="00C817DA" w:rsidRPr="00C21BDD" w:rsidRDefault="00C817DA" w:rsidP="00C817DA">
      <w:pPr>
        <w:spacing w:line="240" w:lineRule="auto"/>
        <w:jc w:val="both"/>
        <w:rPr>
          <w:szCs w:val="22"/>
        </w:rPr>
      </w:pPr>
    </w:p>
    <w:p w14:paraId="5BEA3EF3" w14:textId="70317027" w:rsidR="00C817DA" w:rsidRPr="00C21BDD" w:rsidRDefault="00C817DA" w:rsidP="00C817DA">
      <w:pPr>
        <w:spacing w:line="240" w:lineRule="auto"/>
        <w:jc w:val="both"/>
        <w:rPr>
          <w:szCs w:val="22"/>
        </w:rPr>
      </w:pPr>
      <w:r w:rsidRPr="00C21BDD">
        <w:rPr>
          <w:szCs w:val="22"/>
        </w:rPr>
        <w:t>V případě náhodného požití si ihned vypláchněte ústa a vyhledejte lékařskou pomoc. V případě náhodného zasažení kůže nebo očí zasažené místo ihned omy</w:t>
      </w:r>
      <w:r w:rsidR="00DD17CF">
        <w:rPr>
          <w:szCs w:val="22"/>
        </w:rPr>
        <w:t>j</w:t>
      </w:r>
      <w:r w:rsidRPr="00C21BDD">
        <w:rPr>
          <w:szCs w:val="22"/>
        </w:rPr>
        <w:t>t</w:t>
      </w:r>
      <w:r w:rsidR="00DD17CF">
        <w:rPr>
          <w:szCs w:val="22"/>
        </w:rPr>
        <w:t>e</w:t>
      </w:r>
      <w:r w:rsidRPr="00C21BDD">
        <w:rPr>
          <w:szCs w:val="22"/>
        </w:rPr>
        <w:t xml:space="preserve"> velkým množstvím vody. Zabraňte náhodnému sebepoškození injekčně </w:t>
      </w:r>
      <w:r w:rsidR="00DD17CF">
        <w:rPr>
          <w:szCs w:val="22"/>
        </w:rPr>
        <w:t>podaným</w:t>
      </w:r>
      <w:r w:rsidRPr="00C21BDD">
        <w:rPr>
          <w:szCs w:val="22"/>
        </w:rPr>
        <w:t xml:space="preserve"> přípravkem nebo náhodné</w:t>
      </w:r>
      <w:r w:rsidR="00DD17CF">
        <w:rPr>
          <w:szCs w:val="22"/>
        </w:rPr>
        <w:t>mu podání</w:t>
      </w:r>
      <w:r w:rsidRPr="00C21BDD">
        <w:rPr>
          <w:szCs w:val="22"/>
        </w:rPr>
        <w:t xml:space="preserve"> jiným osobám při podávání tohoto </w:t>
      </w:r>
      <w:r w:rsidR="00DD17CF">
        <w:rPr>
          <w:szCs w:val="22"/>
        </w:rPr>
        <w:t xml:space="preserve">veterinárního léčivého </w:t>
      </w:r>
      <w:r w:rsidRPr="00C21BDD">
        <w:rPr>
          <w:szCs w:val="22"/>
        </w:rPr>
        <w:t>přípravku.</w:t>
      </w:r>
    </w:p>
    <w:p w14:paraId="447DCDB7" w14:textId="4596AEE2" w:rsidR="00C817DA" w:rsidRPr="00C21BDD" w:rsidRDefault="00C817DA" w:rsidP="00C817DA">
      <w:pPr>
        <w:spacing w:line="240" w:lineRule="auto"/>
        <w:jc w:val="both"/>
        <w:rPr>
          <w:szCs w:val="22"/>
        </w:rPr>
      </w:pPr>
      <w:r w:rsidRPr="00C21BDD">
        <w:rPr>
          <w:szCs w:val="22"/>
        </w:rPr>
        <w:t>V případě náhodného samopodání injekce nebo závažného zasažení kůže nebo očí</w:t>
      </w:r>
      <w:r w:rsidR="0037148D">
        <w:rPr>
          <w:szCs w:val="22"/>
        </w:rPr>
        <w:t>,</w:t>
      </w:r>
      <w:r w:rsidRPr="00C21BDD">
        <w:rPr>
          <w:szCs w:val="22"/>
        </w:rPr>
        <w:t xml:space="preserve"> vyhledejte ihned lékařskou pomoc a ukažte příbalovou informaci nebo etiketu praktickému lékaři. NEŘIĎTE MOTOROVÉ VOZIDLO, neboť může dojít k sedaci.</w:t>
      </w:r>
    </w:p>
    <w:p w14:paraId="2949AC5D" w14:textId="77777777" w:rsidR="00C817DA" w:rsidRPr="00C21BDD" w:rsidRDefault="00C817DA" w:rsidP="00C817DA">
      <w:pPr>
        <w:spacing w:line="240" w:lineRule="auto"/>
        <w:jc w:val="both"/>
        <w:rPr>
          <w:szCs w:val="22"/>
        </w:rPr>
      </w:pPr>
    </w:p>
    <w:p w14:paraId="0A663F2F" w14:textId="77777777" w:rsidR="00C817DA" w:rsidRPr="00C21BDD" w:rsidRDefault="00C817DA" w:rsidP="00C817DA">
      <w:pPr>
        <w:spacing w:line="240" w:lineRule="auto"/>
        <w:jc w:val="both"/>
        <w:rPr>
          <w:szCs w:val="22"/>
        </w:rPr>
      </w:pPr>
      <w:r w:rsidRPr="00C21BDD">
        <w:rPr>
          <w:szCs w:val="22"/>
        </w:rPr>
        <w:t xml:space="preserve">Embryotoxické účinky nejsou vyloučeny.  </w:t>
      </w:r>
    </w:p>
    <w:p w14:paraId="0F92A7EC" w14:textId="005A8A98" w:rsidR="00C817DA" w:rsidRPr="00C21BDD" w:rsidRDefault="00C817DA" w:rsidP="00C817DA">
      <w:pPr>
        <w:spacing w:line="240" w:lineRule="auto"/>
        <w:jc w:val="both"/>
        <w:rPr>
          <w:szCs w:val="22"/>
        </w:rPr>
      </w:pPr>
      <w:r w:rsidRPr="00C21BDD">
        <w:rPr>
          <w:szCs w:val="22"/>
        </w:rPr>
        <w:t xml:space="preserve">Těhotné a kojící ženy musí při </w:t>
      </w:r>
      <w:r w:rsidR="00DD17CF">
        <w:rPr>
          <w:szCs w:val="22"/>
        </w:rPr>
        <w:t xml:space="preserve">zacházení </w:t>
      </w:r>
      <w:r w:rsidRPr="00C21BDD">
        <w:rPr>
          <w:szCs w:val="22"/>
        </w:rPr>
        <w:t xml:space="preserve">s tímto </w:t>
      </w:r>
      <w:r w:rsidR="00EE2014">
        <w:rPr>
          <w:szCs w:val="22"/>
        </w:rPr>
        <w:t xml:space="preserve">veterinárním léčivým </w:t>
      </w:r>
      <w:r w:rsidRPr="00C21BDD">
        <w:rPr>
          <w:szCs w:val="22"/>
        </w:rPr>
        <w:t xml:space="preserve">přípravkem dbát zvýšené opatrnosti. Tento </w:t>
      </w:r>
      <w:r w:rsidR="00EE2014">
        <w:rPr>
          <w:szCs w:val="22"/>
        </w:rPr>
        <w:t xml:space="preserve">veterinární léčivý </w:t>
      </w:r>
      <w:r w:rsidRPr="00C21BDD">
        <w:rPr>
          <w:szCs w:val="22"/>
        </w:rPr>
        <w:t>přípravek může způsobovat podráždění očí, kůže</w:t>
      </w:r>
      <w:r w:rsidR="00DD17CF">
        <w:rPr>
          <w:szCs w:val="22"/>
        </w:rPr>
        <w:t xml:space="preserve"> a reakce z přecitlivělosti</w:t>
      </w:r>
      <w:r w:rsidRPr="00C21BDD">
        <w:rPr>
          <w:szCs w:val="22"/>
        </w:rPr>
        <w:t xml:space="preserve"> (vzhledem k přítomnosti pentobarbitalu). Lidé se známou přecitlivělostí na pentobarbital by se měli vyhnout kontaktu s veterinárním léčivým přípravkem.</w:t>
      </w:r>
    </w:p>
    <w:p w14:paraId="0840C4E8" w14:textId="77777777" w:rsidR="00C817DA" w:rsidRPr="00C21BDD" w:rsidRDefault="00C817DA" w:rsidP="00C817DA">
      <w:pPr>
        <w:spacing w:line="240" w:lineRule="auto"/>
        <w:jc w:val="both"/>
        <w:rPr>
          <w:szCs w:val="22"/>
        </w:rPr>
      </w:pPr>
    </w:p>
    <w:p w14:paraId="37CEA64A" w14:textId="2C83A35D" w:rsidR="00C817DA" w:rsidRPr="00C21BDD" w:rsidRDefault="00C817DA" w:rsidP="00C817DA">
      <w:pPr>
        <w:spacing w:line="240" w:lineRule="auto"/>
        <w:jc w:val="both"/>
        <w:rPr>
          <w:szCs w:val="22"/>
        </w:rPr>
      </w:pPr>
      <w:r w:rsidRPr="00C21BDD">
        <w:rPr>
          <w:szCs w:val="22"/>
        </w:rPr>
        <w:t xml:space="preserve">Zabraňte přímému kontaktu s kůží a očima, včetně zasažení oka kontaminovanýma rukama. </w:t>
      </w:r>
    </w:p>
    <w:p w14:paraId="0DCE2C98" w14:textId="120750B1" w:rsidR="00C817DA" w:rsidRPr="00C21BDD" w:rsidRDefault="00C817DA" w:rsidP="00C817DA">
      <w:pPr>
        <w:spacing w:line="240" w:lineRule="auto"/>
        <w:jc w:val="both"/>
        <w:rPr>
          <w:szCs w:val="22"/>
        </w:rPr>
      </w:pPr>
      <w:r w:rsidRPr="00C21BDD">
        <w:rPr>
          <w:szCs w:val="22"/>
        </w:rPr>
        <w:t>Tento veterinární léčivý přípravek smí podávat pouze veterinární lékař, a to pouze v přítomnosti další odborně způsobilé osoby, která je schopna poskytnout pomoc v případě náhodné expozice přípravkem. Jestliže tito pracovníci nemají zdravotnické vzdělání, poučte je o rizicích souvisejících s</w:t>
      </w:r>
      <w:r w:rsidR="00EE2014">
        <w:rPr>
          <w:szCs w:val="22"/>
        </w:rPr>
        <w:t xml:space="preserve"> veterinárním léčivým </w:t>
      </w:r>
      <w:r w:rsidRPr="00C21BDD">
        <w:rPr>
          <w:szCs w:val="22"/>
        </w:rPr>
        <w:t xml:space="preserve">přípravkem. </w:t>
      </w:r>
    </w:p>
    <w:p w14:paraId="36D98FBD" w14:textId="511EFED4" w:rsidR="00EE2014" w:rsidRDefault="00EE2014" w:rsidP="00C817DA">
      <w:pPr>
        <w:spacing w:line="240" w:lineRule="auto"/>
        <w:jc w:val="both"/>
      </w:pPr>
      <w:r w:rsidRPr="00C21BDD">
        <w:t>Při nakládání s veterinárním léčivým přípravkem by se měly používat osobní ochranné prostředky skládající se z nepropustných rukavic.</w:t>
      </w:r>
    </w:p>
    <w:p w14:paraId="1B894797" w14:textId="2D22DD4A" w:rsidR="00C817DA" w:rsidRPr="00C21BDD" w:rsidRDefault="00C817DA" w:rsidP="00C817DA">
      <w:pPr>
        <w:spacing w:line="240" w:lineRule="auto"/>
        <w:jc w:val="both"/>
        <w:rPr>
          <w:szCs w:val="22"/>
        </w:rPr>
      </w:pPr>
      <w:r w:rsidRPr="00C21BDD">
        <w:rPr>
          <w:szCs w:val="22"/>
        </w:rPr>
        <w:t xml:space="preserve">Při </w:t>
      </w:r>
      <w:r w:rsidR="00DD17CF">
        <w:rPr>
          <w:szCs w:val="22"/>
        </w:rPr>
        <w:t>nakládání</w:t>
      </w:r>
      <w:r w:rsidRPr="00C21BDD">
        <w:rPr>
          <w:szCs w:val="22"/>
        </w:rPr>
        <w:t xml:space="preserve"> s</w:t>
      </w:r>
      <w:r w:rsidR="00EE2014">
        <w:rPr>
          <w:szCs w:val="22"/>
        </w:rPr>
        <w:t xml:space="preserve"> veterinárním léčivým </w:t>
      </w:r>
      <w:r w:rsidRPr="00C21BDD">
        <w:rPr>
          <w:szCs w:val="22"/>
        </w:rPr>
        <w:t xml:space="preserve">přípravkem nekuřte, nejezte a nepijte. </w:t>
      </w:r>
    </w:p>
    <w:p w14:paraId="7C8C2C24" w14:textId="77777777" w:rsidR="00C817DA" w:rsidRPr="00C21BDD" w:rsidRDefault="00C817DA" w:rsidP="00C817DA">
      <w:pPr>
        <w:spacing w:line="240" w:lineRule="auto"/>
        <w:jc w:val="both"/>
        <w:rPr>
          <w:szCs w:val="22"/>
        </w:rPr>
      </w:pPr>
    </w:p>
    <w:p w14:paraId="456EA2FE" w14:textId="2D90244B" w:rsidR="00C817DA" w:rsidRPr="00C21BDD" w:rsidRDefault="00C817DA" w:rsidP="00C817DA">
      <w:pPr>
        <w:spacing w:line="240" w:lineRule="auto"/>
        <w:jc w:val="both"/>
        <w:rPr>
          <w:szCs w:val="22"/>
        </w:rPr>
      </w:pPr>
      <w:r w:rsidRPr="00C21BDD">
        <w:rPr>
          <w:szCs w:val="22"/>
        </w:rPr>
        <w:t xml:space="preserve">Po podání </w:t>
      </w:r>
      <w:r w:rsidR="00EE2014">
        <w:rPr>
          <w:szCs w:val="22"/>
        </w:rPr>
        <w:t xml:space="preserve">veterinárního léčivého </w:t>
      </w:r>
      <w:r w:rsidRPr="00C21BDD">
        <w:rPr>
          <w:szCs w:val="22"/>
        </w:rPr>
        <w:t>přípravku nastane do 10 sekund kolaps. Pokud je přípravek podáván stojícímu zvířeti, musí osoba, která léčivý přípravek zvířeti podává, stejně jako další přítomné osoby, dbát opatrnosti a udržovat potřebnou vzdálenost od zvířete, aby se zabránilo dalším zraněním.</w:t>
      </w:r>
    </w:p>
    <w:p w14:paraId="406FB2CE" w14:textId="0DCD24DF" w:rsidR="00C817DA" w:rsidRPr="00C21BDD" w:rsidRDefault="00EE2014" w:rsidP="00C817DA">
      <w:pPr>
        <w:spacing w:line="240" w:lineRule="auto"/>
        <w:jc w:val="both"/>
        <w:rPr>
          <w:szCs w:val="22"/>
        </w:rPr>
      </w:pPr>
      <w:r>
        <w:rPr>
          <w:szCs w:val="22"/>
        </w:rPr>
        <w:t>Tento veterinární léčivý p</w:t>
      </w:r>
      <w:r w:rsidR="00C817DA" w:rsidRPr="00C21BDD">
        <w:rPr>
          <w:szCs w:val="22"/>
        </w:rPr>
        <w:t>řípravek je hořlavý. Uchovávejte ho mimo dosah zdrojů zapálení.</w:t>
      </w:r>
    </w:p>
    <w:p w14:paraId="182B5C16" w14:textId="77777777" w:rsidR="00C817DA" w:rsidRPr="00C21BDD" w:rsidRDefault="00C817DA" w:rsidP="00C817DA">
      <w:pPr>
        <w:spacing w:line="240" w:lineRule="auto"/>
        <w:jc w:val="both"/>
        <w:rPr>
          <w:szCs w:val="22"/>
        </w:rPr>
      </w:pPr>
    </w:p>
    <w:p w14:paraId="527863E6" w14:textId="77777777" w:rsidR="00C817DA" w:rsidRPr="00C21BDD" w:rsidRDefault="00C817DA" w:rsidP="00C817DA">
      <w:pPr>
        <w:spacing w:line="240" w:lineRule="auto"/>
        <w:jc w:val="both"/>
        <w:rPr>
          <w:szCs w:val="22"/>
        </w:rPr>
      </w:pPr>
      <w:r w:rsidRPr="00C21BDD">
        <w:rPr>
          <w:b/>
          <w:bCs/>
          <w:szCs w:val="22"/>
        </w:rPr>
        <w:t>Informace pro zdravotnický personál v případě expozice:</w:t>
      </w:r>
      <w:r w:rsidRPr="00C21BDD">
        <w:rPr>
          <w:szCs w:val="22"/>
        </w:rPr>
        <w:t xml:space="preserve"> </w:t>
      </w:r>
    </w:p>
    <w:p w14:paraId="6F9D5953" w14:textId="77777777" w:rsidR="00C817DA" w:rsidRPr="00C21BDD" w:rsidRDefault="00C817DA" w:rsidP="00C817DA">
      <w:pPr>
        <w:spacing w:line="240" w:lineRule="auto"/>
        <w:jc w:val="both"/>
        <w:rPr>
          <w:szCs w:val="22"/>
        </w:rPr>
      </w:pPr>
      <w:r w:rsidRPr="00C21BDD">
        <w:rPr>
          <w:szCs w:val="22"/>
        </w:rPr>
        <w:t xml:space="preserve">Opatření první pomoci by měla směřovat k udržení respiračních a srdečních funkcí. Při vážných otravách je třeba přijmout opatření, která urychlí eliminaci absorbovaných barbiturátů z organismu. </w:t>
      </w:r>
    </w:p>
    <w:p w14:paraId="0278BF24" w14:textId="77777777" w:rsidR="00C817DA" w:rsidRPr="00C21BDD" w:rsidRDefault="00C817DA" w:rsidP="00C817DA">
      <w:pPr>
        <w:spacing w:line="240" w:lineRule="auto"/>
        <w:jc w:val="both"/>
        <w:rPr>
          <w:szCs w:val="22"/>
        </w:rPr>
      </w:pPr>
    </w:p>
    <w:p w14:paraId="6D497076" w14:textId="793A5753" w:rsidR="00C817DA" w:rsidRPr="00C21BDD" w:rsidRDefault="00C817DA" w:rsidP="00C817DA">
      <w:pPr>
        <w:spacing w:line="240" w:lineRule="auto"/>
        <w:jc w:val="both"/>
        <w:rPr>
          <w:szCs w:val="22"/>
        </w:rPr>
      </w:pPr>
      <w:r w:rsidRPr="00C21BDD">
        <w:rPr>
          <w:szCs w:val="22"/>
        </w:rPr>
        <w:t>Koncentrace pentobarbitalu v</w:t>
      </w:r>
      <w:r w:rsidR="00EE2014">
        <w:rPr>
          <w:szCs w:val="22"/>
        </w:rPr>
        <w:t>e veterinárním léčivém</w:t>
      </w:r>
      <w:r w:rsidRPr="00C21BDD">
        <w:rPr>
          <w:szCs w:val="22"/>
        </w:rPr>
        <w:t xml:space="preserve"> přípravku je taková, že náhodné injekční podání nebo požití i tak malého množství jako 1 ml může mít u dospělého člověka závažné účinky na CNS. Dávka 1 g pentobarbitalu sodného (odpovídá 2 ml </w:t>
      </w:r>
      <w:r w:rsidR="00EE2014">
        <w:rPr>
          <w:szCs w:val="22"/>
        </w:rPr>
        <w:t xml:space="preserve">veterinárního léčivého </w:t>
      </w:r>
      <w:r w:rsidRPr="00C21BDD">
        <w:rPr>
          <w:szCs w:val="22"/>
        </w:rPr>
        <w:t>přípravku) byla u lidí hlášena jako smrtelná. Léčba by měla být podpůrná s vhodnou intenzivní terapií a udržováním dýchání.</w:t>
      </w:r>
    </w:p>
    <w:p w14:paraId="2DAED05C" w14:textId="77777777" w:rsidR="002F6DAA" w:rsidRPr="00C21BDD" w:rsidRDefault="002F6DAA" w:rsidP="005B1FD0">
      <w:pPr>
        <w:rPr>
          <w:szCs w:val="22"/>
          <w:u w:val="single"/>
        </w:rPr>
      </w:pPr>
    </w:p>
    <w:p w14:paraId="6370505B" w14:textId="3F19434B" w:rsidR="005B1FD0" w:rsidRPr="00C21BDD" w:rsidRDefault="00C605FD" w:rsidP="00A9226B">
      <w:pPr>
        <w:tabs>
          <w:tab w:val="clear" w:pos="567"/>
        </w:tabs>
        <w:spacing w:line="240" w:lineRule="auto"/>
        <w:rPr>
          <w:szCs w:val="22"/>
        </w:rPr>
      </w:pPr>
      <w:r w:rsidRPr="00C21BDD">
        <w:rPr>
          <w:szCs w:val="22"/>
          <w:u w:val="single"/>
        </w:rPr>
        <w:t>Další opatření</w:t>
      </w:r>
      <w:r w:rsidRPr="00C21BDD">
        <w:t>:</w:t>
      </w:r>
    </w:p>
    <w:p w14:paraId="01ADB996" w14:textId="06053D2E" w:rsidR="00C817DA" w:rsidRPr="00C21BDD" w:rsidRDefault="00C817DA" w:rsidP="00C817DA">
      <w:pPr>
        <w:spacing w:line="240" w:lineRule="auto"/>
        <w:jc w:val="both"/>
        <w:rPr>
          <w:szCs w:val="22"/>
        </w:rPr>
      </w:pPr>
      <w:r w:rsidRPr="00C21BDD">
        <w:rPr>
          <w:szCs w:val="22"/>
        </w:rPr>
        <w:t xml:space="preserve">Těla zvířat utracených tímto </w:t>
      </w:r>
      <w:r w:rsidR="00EE2014">
        <w:rPr>
          <w:szCs w:val="22"/>
        </w:rPr>
        <w:t xml:space="preserve">veterinárním léčivým </w:t>
      </w:r>
      <w:r w:rsidRPr="00C21BDD">
        <w:rPr>
          <w:szCs w:val="22"/>
        </w:rPr>
        <w:t xml:space="preserve">přípravkem musí být likvidována podle místních právních předpisů. Z důvodu rizika sekundární intoxikace nesmí být zvířata, která byla utracena tímto </w:t>
      </w:r>
      <w:r w:rsidR="00EE2014">
        <w:rPr>
          <w:szCs w:val="22"/>
        </w:rPr>
        <w:t xml:space="preserve">veterinárním léčivým </w:t>
      </w:r>
      <w:r w:rsidRPr="00C21BDD">
        <w:rPr>
          <w:szCs w:val="22"/>
        </w:rPr>
        <w:t>přípravkem, zkrmována jiným zvířatům.</w:t>
      </w:r>
    </w:p>
    <w:p w14:paraId="1E6DC2AF" w14:textId="77777777" w:rsidR="005B1FD0" w:rsidRPr="00C21BDD" w:rsidRDefault="005B1FD0" w:rsidP="005B1FD0">
      <w:pPr>
        <w:tabs>
          <w:tab w:val="clear" w:pos="567"/>
        </w:tabs>
        <w:spacing w:line="240" w:lineRule="auto"/>
        <w:rPr>
          <w:szCs w:val="22"/>
        </w:rPr>
      </w:pPr>
    </w:p>
    <w:p w14:paraId="73D27655" w14:textId="728624D7" w:rsidR="005B1FD0" w:rsidRPr="00C21BDD" w:rsidRDefault="00C605FD" w:rsidP="005B1FD0">
      <w:pPr>
        <w:tabs>
          <w:tab w:val="clear" w:pos="567"/>
        </w:tabs>
        <w:spacing w:line="240" w:lineRule="auto"/>
        <w:rPr>
          <w:szCs w:val="22"/>
        </w:rPr>
      </w:pPr>
      <w:r w:rsidRPr="00C21BDD">
        <w:rPr>
          <w:szCs w:val="22"/>
          <w:u w:val="single"/>
        </w:rPr>
        <w:t>Březost a laktace</w:t>
      </w:r>
      <w:r w:rsidRPr="00C21BDD">
        <w:t>:</w:t>
      </w:r>
    </w:p>
    <w:p w14:paraId="5CD3DA05" w14:textId="307BBF7A" w:rsidR="00C817DA" w:rsidRPr="00C21BDD" w:rsidRDefault="00C817DA" w:rsidP="00C817DA">
      <w:pPr>
        <w:spacing w:line="240" w:lineRule="auto"/>
        <w:jc w:val="both"/>
        <w:rPr>
          <w:szCs w:val="22"/>
        </w:rPr>
      </w:pPr>
      <w:r w:rsidRPr="00C21BDD">
        <w:rPr>
          <w:szCs w:val="22"/>
        </w:rPr>
        <w:t xml:space="preserve">Je-li eutanazie nutná, je možné </w:t>
      </w:r>
      <w:r w:rsidR="00EE2014">
        <w:rPr>
          <w:szCs w:val="22"/>
        </w:rPr>
        <w:t xml:space="preserve">veterinární léčivý </w:t>
      </w:r>
      <w:r w:rsidRPr="00C21BDD">
        <w:rPr>
          <w:szCs w:val="22"/>
        </w:rPr>
        <w:t xml:space="preserve">přípravek použít u březích nebo laktujících zvířat. Při výpočtu dávek je třeba vzít v úvahu zvýšenou živou hmotnost březích zvířat. Pokud je to možné, měl by se </w:t>
      </w:r>
      <w:r w:rsidR="00EE2014">
        <w:rPr>
          <w:szCs w:val="22"/>
        </w:rPr>
        <w:t xml:space="preserve">veterinární léčivý </w:t>
      </w:r>
      <w:r w:rsidRPr="00C21BDD">
        <w:rPr>
          <w:szCs w:val="22"/>
        </w:rPr>
        <w:t>přípravek podávat intravenózně injekcí. Plod nesmí být vyjmut z těla matky (například pro účely zkoušek) dříve než 25 minut po potvrzení úhynu matky. V tomto případě je třeba zjistit, zda plod nejeví známky života, a pokud je to nutné, je třeba provést usmrcení odděleně.</w:t>
      </w:r>
    </w:p>
    <w:p w14:paraId="6C129502" w14:textId="77777777" w:rsidR="005B1FD0" w:rsidRPr="00C21BDD" w:rsidRDefault="005B1FD0" w:rsidP="005B1FD0">
      <w:pPr>
        <w:tabs>
          <w:tab w:val="clear" w:pos="567"/>
        </w:tabs>
        <w:spacing w:line="240" w:lineRule="auto"/>
        <w:rPr>
          <w:szCs w:val="22"/>
        </w:rPr>
      </w:pPr>
    </w:p>
    <w:p w14:paraId="79F1C6F6" w14:textId="5E4335EE" w:rsidR="005B1FD0" w:rsidRPr="00C21BDD" w:rsidRDefault="00C605FD" w:rsidP="005B1FD0">
      <w:pPr>
        <w:tabs>
          <w:tab w:val="clear" w:pos="567"/>
        </w:tabs>
        <w:spacing w:line="240" w:lineRule="auto"/>
        <w:rPr>
          <w:szCs w:val="22"/>
        </w:rPr>
      </w:pPr>
      <w:r w:rsidRPr="00C21BDD">
        <w:rPr>
          <w:szCs w:val="22"/>
          <w:u w:val="single"/>
        </w:rPr>
        <w:t>Interakce s jinými léčivými přípravky a další formy interakce</w:t>
      </w:r>
      <w:r w:rsidRPr="00C21BDD">
        <w:t>:</w:t>
      </w:r>
    </w:p>
    <w:p w14:paraId="2C9FB58D" w14:textId="673E38A0" w:rsidR="00C817DA" w:rsidRPr="00C21BDD" w:rsidRDefault="00C817DA" w:rsidP="00C817DA">
      <w:pPr>
        <w:tabs>
          <w:tab w:val="clear" w:pos="567"/>
        </w:tabs>
        <w:spacing w:line="240" w:lineRule="auto"/>
        <w:jc w:val="both"/>
        <w:rPr>
          <w:szCs w:val="22"/>
          <w:u w:val="single"/>
        </w:rPr>
      </w:pPr>
      <w:r w:rsidRPr="00C21BDD">
        <w:rPr>
          <w:szCs w:val="22"/>
        </w:rPr>
        <w:t xml:space="preserve">Ačkoli premedikace sedativy může zpozdit požadovaný účinek </w:t>
      </w:r>
      <w:r w:rsidR="00EE2014">
        <w:rPr>
          <w:szCs w:val="22"/>
        </w:rPr>
        <w:t xml:space="preserve">veterinárního léčivého </w:t>
      </w:r>
      <w:r w:rsidRPr="00C21BDD">
        <w:rPr>
          <w:szCs w:val="22"/>
        </w:rPr>
        <w:t>přípravku v důsledku snížené oběhové funkce, nemusí to být klinicky zjistitelné, neboť látky tlumící CNS (opioidy, α2 agonisty adrenoreceptoru, fenothiaziny atd.), mohou účinek pentobarbitalu zvýšit.</w:t>
      </w:r>
    </w:p>
    <w:p w14:paraId="4B6ACDF8" w14:textId="77777777" w:rsidR="005B1FD0" w:rsidRPr="00C21BDD" w:rsidRDefault="005B1FD0" w:rsidP="005B1FD0">
      <w:pPr>
        <w:tabs>
          <w:tab w:val="clear" w:pos="567"/>
        </w:tabs>
        <w:spacing w:line="240" w:lineRule="auto"/>
        <w:rPr>
          <w:szCs w:val="22"/>
        </w:rPr>
      </w:pPr>
    </w:p>
    <w:p w14:paraId="2E06A2FE" w14:textId="77777777" w:rsidR="00FF346E" w:rsidRPr="005D1FCE" w:rsidRDefault="00FF346E" w:rsidP="00FF346E">
      <w:pPr>
        <w:tabs>
          <w:tab w:val="clear" w:pos="567"/>
        </w:tabs>
        <w:spacing w:line="240" w:lineRule="auto"/>
        <w:rPr>
          <w:szCs w:val="22"/>
        </w:rPr>
      </w:pPr>
      <w:r w:rsidRPr="005D1FCE">
        <w:rPr>
          <w:szCs w:val="22"/>
          <w:u w:val="single"/>
        </w:rPr>
        <w:t>Zvláštní omezení použití a zvláštní podmínky pro použití</w:t>
      </w:r>
      <w:r w:rsidRPr="005D1FCE">
        <w:rPr>
          <w:szCs w:val="22"/>
        </w:rPr>
        <w:t>:</w:t>
      </w:r>
    </w:p>
    <w:p w14:paraId="4FA7B341" w14:textId="77777777" w:rsidR="00FF346E" w:rsidRDefault="00FF346E" w:rsidP="00FF346E">
      <w:pPr>
        <w:tabs>
          <w:tab w:val="clear" w:pos="567"/>
        </w:tabs>
        <w:spacing w:line="240" w:lineRule="auto"/>
        <w:rPr>
          <w:rFonts w:eastAsia="SimSun"/>
          <w:lang w:eastAsia="zh-CN"/>
        </w:rPr>
      </w:pPr>
      <w:r w:rsidRPr="00EA31D6">
        <w:rPr>
          <w:rFonts w:eastAsia="SimSun"/>
          <w:lang w:eastAsia="zh-CN"/>
        </w:rPr>
        <w:t>Pouze pro použití veterinárním lékařem.</w:t>
      </w:r>
    </w:p>
    <w:p w14:paraId="1F5ED78C" w14:textId="04AF93E0" w:rsidR="005B1FD0" w:rsidRPr="00C21BDD" w:rsidRDefault="00C605FD" w:rsidP="005B1FD0">
      <w:pPr>
        <w:tabs>
          <w:tab w:val="clear" w:pos="567"/>
        </w:tabs>
        <w:spacing w:line="240" w:lineRule="auto"/>
        <w:rPr>
          <w:szCs w:val="22"/>
        </w:rPr>
      </w:pPr>
      <w:r w:rsidRPr="00C21BDD">
        <w:rPr>
          <w:szCs w:val="22"/>
          <w:u w:val="single"/>
        </w:rPr>
        <w:t>Hlavní inkompatibility</w:t>
      </w:r>
      <w:r w:rsidRPr="00C21BDD">
        <w:t>:</w:t>
      </w:r>
    </w:p>
    <w:p w14:paraId="256A9EF7" w14:textId="77777777" w:rsidR="00C817DA" w:rsidRPr="00C21BDD" w:rsidRDefault="00C817DA" w:rsidP="00C817DA">
      <w:pPr>
        <w:tabs>
          <w:tab w:val="clear" w:pos="567"/>
        </w:tabs>
        <w:spacing w:line="240" w:lineRule="auto"/>
        <w:jc w:val="both"/>
        <w:rPr>
          <w:szCs w:val="22"/>
        </w:rPr>
      </w:pPr>
      <w:r w:rsidRPr="00C21BDD">
        <w:rPr>
          <w:szCs w:val="22"/>
        </w:rPr>
        <w:t>Studie kompatibility nejsou k dispozici, a proto tento veterinární léčivý přípravek nesmí být mísen s žádnými dalšími veterinárními léčivými přípravky.</w:t>
      </w:r>
    </w:p>
    <w:p w14:paraId="147FD16E" w14:textId="77777777" w:rsidR="005B1FD0" w:rsidRPr="00C21BDD" w:rsidRDefault="005B1FD0" w:rsidP="00A9226B">
      <w:pPr>
        <w:tabs>
          <w:tab w:val="clear" w:pos="567"/>
        </w:tabs>
        <w:spacing w:line="240" w:lineRule="auto"/>
        <w:rPr>
          <w:szCs w:val="22"/>
        </w:rPr>
      </w:pPr>
    </w:p>
    <w:p w14:paraId="06922BF3" w14:textId="77777777" w:rsidR="00C114FF" w:rsidRPr="00C21BDD" w:rsidRDefault="00C114FF" w:rsidP="00A9226B">
      <w:pPr>
        <w:tabs>
          <w:tab w:val="clear" w:pos="567"/>
        </w:tabs>
        <w:spacing w:line="240" w:lineRule="auto"/>
        <w:rPr>
          <w:szCs w:val="22"/>
        </w:rPr>
      </w:pPr>
    </w:p>
    <w:p w14:paraId="30ACCB97" w14:textId="77777777" w:rsidR="00C114FF" w:rsidRPr="00C21BDD" w:rsidRDefault="00C605FD" w:rsidP="00B13B6D">
      <w:pPr>
        <w:pStyle w:val="Style1"/>
      </w:pPr>
      <w:r w:rsidRPr="00C21BDD">
        <w:rPr>
          <w:highlight w:val="lightGray"/>
        </w:rPr>
        <w:t>7.</w:t>
      </w:r>
      <w:r w:rsidRPr="00C21BDD">
        <w:tab/>
        <w:t>Nežádoucí účinky</w:t>
      </w:r>
    </w:p>
    <w:p w14:paraId="700B302D" w14:textId="77777777" w:rsidR="00C114FF" w:rsidRPr="00C21BDD" w:rsidRDefault="00C114FF" w:rsidP="00A9226B">
      <w:pPr>
        <w:tabs>
          <w:tab w:val="clear" w:pos="567"/>
        </w:tabs>
        <w:spacing w:line="240" w:lineRule="auto"/>
        <w:rPr>
          <w:iCs/>
          <w:szCs w:val="22"/>
        </w:rPr>
      </w:pPr>
    </w:p>
    <w:p w14:paraId="36A2EDD6" w14:textId="77777777" w:rsidR="00965449" w:rsidRPr="00C21BDD" w:rsidRDefault="00965449" w:rsidP="00965449">
      <w:pPr>
        <w:tabs>
          <w:tab w:val="clear" w:pos="567"/>
        </w:tabs>
        <w:spacing w:line="240" w:lineRule="auto"/>
        <w:rPr>
          <w:szCs w:val="22"/>
        </w:rPr>
      </w:pPr>
      <w:r>
        <w:rPr>
          <w:szCs w:val="22"/>
        </w:rPr>
        <w:t>Psi, kočky, hlodavci, králíci, skot, ovce, kozy, prasata, koně a norci:</w:t>
      </w:r>
    </w:p>
    <w:p w14:paraId="238AFE11" w14:textId="77777777" w:rsidR="00965449" w:rsidRPr="00C21BDD" w:rsidRDefault="00965449" w:rsidP="00965449">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965449" w:rsidRPr="00C21BDD" w14:paraId="33F1E216" w14:textId="77777777" w:rsidTr="00545A40">
        <w:tc>
          <w:tcPr>
            <w:tcW w:w="1957" w:type="pct"/>
          </w:tcPr>
          <w:p w14:paraId="2641850E" w14:textId="77777777" w:rsidR="00965449" w:rsidRPr="00C21BDD" w:rsidRDefault="00965449" w:rsidP="00545A40">
            <w:pPr>
              <w:spacing w:before="60" w:after="60"/>
              <w:rPr>
                <w:szCs w:val="22"/>
              </w:rPr>
            </w:pPr>
            <w:r w:rsidRPr="00C21BDD">
              <w:t>Časté</w:t>
            </w:r>
          </w:p>
          <w:p w14:paraId="3A9A2A60" w14:textId="77777777" w:rsidR="00965449" w:rsidRPr="00C21BDD" w:rsidRDefault="00965449" w:rsidP="00545A40">
            <w:pPr>
              <w:spacing w:before="60" w:after="60"/>
              <w:rPr>
                <w:szCs w:val="22"/>
                <w:highlight w:val="yellow"/>
              </w:rPr>
            </w:pPr>
            <w:r w:rsidRPr="00C21BDD">
              <w:t>(1 až 10 zvířat / 100 ošetřených zvířat):</w:t>
            </w:r>
          </w:p>
        </w:tc>
        <w:tc>
          <w:tcPr>
            <w:tcW w:w="3043" w:type="pct"/>
          </w:tcPr>
          <w:p w14:paraId="475878DF" w14:textId="77777777" w:rsidR="00965449" w:rsidRPr="00C21BDD" w:rsidRDefault="00965449" w:rsidP="00545A40">
            <w:pPr>
              <w:spacing w:before="60" w:after="60"/>
              <w:rPr>
                <w:iCs/>
                <w:vertAlign w:val="superscript"/>
              </w:rPr>
            </w:pPr>
            <w:r>
              <w:rPr>
                <w:iCs/>
              </w:rPr>
              <w:t>Svalové záškuby</w:t>
            </w:r>
            <w:r w:rsidRPr="00C21BDD">
              <w:rPr>
                <w:iCs/>
                <w:vertAlign w:val="superscript"/>
              </w:rPr>
              <w:t>a</w:t>
            </w:r>
          </w:p>
          <w:p w14:paraId="2821CE3E" w14:textId="77777777" w:rsidR="00965449" w:rsidRPr="00C21BDD" w:rsidRDefault="00965449" w:rsidP="00545A40">
            <w:pPr>
              <w:spacing w:before="60" w:after="60"/>
              <w:rPr>
                <w:iCs/>
                <w:szCs w:val="22"/>
              </w:rPr>
            </w:pPr>
          </w:p>
        </w:tc>
      </w:tr>
      <w:tr w:rsidR="00965449" w:rsidRPr="00C21BDD" w14:paraId="332C8C12" w14:textId="77777777" w:rsidTr="00545A40">
        <w:tc>
          <w:tcPr>
            <w:tcW w:w="1957" w:type="pct"/>
          </w:tcPr>
          <w:p w14:paraId="617B3D5B" w14:textId="77777777" w:rsidR="00965449" w:rsidRPr="00C21BDD" w:rsidRDefault="00965449" w:rsidP="00545A40">
            <w:pPr>
              <w:spacing w:before="60" w:after="60"/>
              <w:rPr>
                <w:szCs w:val="22"/>
              </w:rPr>
            </w:pPr>
            <w:r w:rsidRPr="00C21BDD">
              <w:t>Méně časté</w:t>
            </w:r>
          </w:p>
          <w:p w14:paraId="4FEDC451" w14:textId="77777777" w:rsidR="00965449" w:rsidRPr="00C21BDD" w:rsidRDefault="00965449" w:rsidP="00545A40">
            <w:pPr>
              <w:spacing w:before="60" w:after="60"/>
              <w:rPr>
                <w:szCs w:val="22"/>
                <w:highlight w:val="yellow"/>
              </w:rPr>
            </w:pPr>
            <w:r w:rsidRPr="00C21BDD">
              <w:t>(1 až 10 zvířat / 1 000 ošetřených zvířat):</w:t>
            </w:r>
          </w:p>
        </w:tc>
        <w:tc>
          <w:tcPr>
            <w:tcW w:w="3043" w:type="pct"/>
            <w:hideMark/>
          </w:tcPr>
          <w:p w14:paraId="6F9145B8" w14:textId="77777777" w:rsidR="00965449" w:rsidRPr="00C21BDD" w:rsidRDefault="00965449" w:rsidP="00545A40">
            <w:pPr>
              <w:spacing w:before="60" w:after="60"/>
              <w:rPr>
                <w:iCs/>
                <w:szCs w:val="22"/>
              </w:rPr>
            </w:pPr>
            <w:r>
              <w:rPr>
                <w:iCs/>
              </w:rPr>
              <w:t>Krátké lapavé dýchání</w:t>
            </w:r>
            <w:r w:rsidRPr="00C21BDD">
              <w:rPr>
                <w:iCs/>
                <w:vertAlign w:val="superscript"/>
              </w:rPr>
              <w:t>b</w:t>
            </w:r>
          </w:p>
        </w:tc>
      </w:tr>
      <w:tr w:rsidR="00965449" w:rsidRPr="00C21BDD" w14:paraId="3F862A9F" w14:textId="77777777" w:rsidTr="00545A40">
        <w:tc>
          <w:tcPr>
            <w:tcW w:w="1957" w:type="pct"/>
          </w:tcPr>
          <w:p w14:paraId="4F065B7D" w14:textId="77777777" w:rsidR="00965449" w:rsidRPr="00C21BDD" w:rsidRDefault="00965449" w:rsidP="00545A40">
            <w:pPr>
              <w:spacing w:before="60" w:after="60"/>
              <w:rPr>
                <w:szCs w:val="22"/>
              </w:rPr>
            </w:pPr>
            <w:r w:rsidRPr="00C21BDD">
              <w:t>Velmi vzácné</w:t>
            </w:r>
          </w:p>
          <w:p w14:paraId="41F0B928" w14:textId="017693F9" w:rsidR="00965449" w:rsidRPr="00C21BDD" w:rsidRDefault="00965449" w:rsidP="00545A40">
            <w:pPr>
              <w:spacing w:before="60" w:after="60"/>
              <w:rPr>
                <w:szCs w:val="22"/>
                <w:highlight w:val="yellow"/>
              </w:rPr>
            </w:pPr>
            <w:r w:rsidRPr="00C21BDD">
              <w:t>(&lt;1 zvíře / 10 000 ošetřených zvířat, včetně ojedinělých hlášení):</w:t>
            </w:r>
          </w:p>
        </w:tc>
        <w:tc>
          <w:tcPr>
            <w:tcW w:w="3043" w:type="pct"/>
            <w:hideMark/>
          </w:tcPr>
          <w:p w14:paraId="4AFBF8D7" w14:textId="77777777" w:rsidR="00965449" w:rsidRPr="00545A40" w:rsidRDefault="00965449" w:rsidP="00545A40">
            <w:pPr>
              <w:spacing w:before="60" w:after="60"/>
              <w:rPr>
                <w:iCs/>
                <w:vertAlign w:val="superscript"/>
              </w:rPr>
            </w:pPr>
            <w:r>
              <w:rPr>
                <w:iCs/>
              </w:rPr>
              <w:t>Excitace</w:t>
            </w:r>
            <w:r w:rsidRPr="00C21BDD">
              <w:rPr>
                <w:iCs/>
                <w:vertAlign w:val="superscript"/>
              </w:rPr>
              <w:t>c</w:t>
            </w:r>
          </w:p>
        </w:tc>
      </w:tr>
    </w:tbl>
    <w:p w14:paraId="191DD96D" w14:textId="77777777" w:rsidR="00965449" w:rsidRPr="00C21BDD" w:rsidRDefault="00965449" w:rsidP="00965449">
      <w:pPr>
        <w:tabs>
          <w:tab w:val="left" w:pos="142"/>
        </w:tabs>
        <w:spacing w:line="240" w:lineRule="auto"/>
        <w:rPr>
          <w:szCs w:val="22"/>
        </w:rPr>
      </w:pPr>
      <w:r w:rsidRPr="00C21BDD">
        <w:rPr>
          <w:szCs w:val="22"/>
          <w:vertAlign w:val="superscript"/>
        </w:rPr>
        <w:t>a</w:t>
      </w:r>
      <w:r w:rsidRPr="00C21BDD">
        <w:rPr>
          <w:szCs w:val="22"/>
        </w:rPr>
        <w:tab/>
      </w:r>
      <w:r>
        <w:rPr>
          <w:szCs w:val="22"/>
        </w:rPr>
        <w:t>Mírné</w:t>
      </w:r>
      <w:r w:rsidRPr="00C21BDD">
        <w:rPr>
          <w:szCs w:val="22"/>
        </w:rPr>
        <w:t>.</w:t>
      </w:r>
    </w:p>
    <w:p w14:paraId="292ADEE6" w14:textId="77777777" w:rsidR="00965449" w:rsidRPr="00C21BDD" w:rsidRDefault="00965449" w:rsidP="00965449">
      <w:pPr>
        <w:tabs>
          <w:tab w:val="left" w:pos="142"/>
        </w:tabs>
        <w:spacing w:line="240" w:lineRule="auto"/>
        <w:ind w:left="142" w:hanging="142"/>
        <w:rPr>
          <w:szCs w:val="22"/>
        </w:rPr>
      </w:pPr>
      <w:proofErr w:type="gramStart"/>
      <w:r w:rsidRPr="00C21BDD">
        <w:rPr>
          <w:szCs w:val="22"/>
          <w:vertAlign w:val="superscript"/>
        </w:rPr>
        <w:t xml:space="preserve">b  </w:t>
      </w:r>
      <w:r>
        <w:rPr>
          <w:szCs w:val="22"/>
        </w:rPr>
        <w:t>Souvisí</w:t>
      </w:r>
      <w:proofErr w:type="gramEnd"/>
      <w:r>
        <w:rPr>
          <w:szCs w:val="22"/>
        </w:rPr>
        <w:t xml:space="preserve"> se zástavou srdce</w:t>
      </w:r>
      <w:r w:rsidRPr="00C21BDD">
        <w:rPr>
          <w:szCs w:val="22"/>
        </w:rPr>
        <w:t xml:space="preserve">. </w:t>
      </w:r>
      <w:r>
        <w:rPr>
          <w:szCs w:val="22"/>
        </w:rPr>
        <w:t>V tomto stavu je zvíře již klinicky mrtvé</w:t>
      </w:r>
      <w:r w:rsidRPr="00C21BDD">
        <w:rPr>
          <w:szCs w:val="22"/>
        </w:rPr>
        <w:t xml:space="preserve">. </w:t>
      </w:r>
    </w:p>
    <w:p w14:paraId="6CB5EF26" w14:textId="77777777" w:rsidR="00965449" w:rsidRPr="00C21BDD" w:rsidRDefault="00965449" w:rsidP="00965449">
      <w:pPr>
        <w:tabs>
          <w:tab w:val="left" w:pos="142"/>
        </w:tabs>
        <w:spacing w:line="240" w:lineRule="auto"/>
        <w:rPr>
          <w:szCs w:val="22"/>
        </w:rPr>
      </w:pPr>
      <w:r w:rsidRPr="00C21BDD">
        <w:rPr>
          <w:szCs w:val="22"/>
          <w:vertAlign w:val="superscript"/>
        </w:rPr>
        <w:t>c</w:t>
      </w:r>
      <w:r w:rsidRPr="00C21BDD">
        <w:rPr>
          <w:szCs w:val="22"/>
        </w:rPr>
        <w:t xml:space="preserve"> </w:t>
      </w:r>
      <w:r w:rsidRPr="00C21BDD">
        <w:rPr>
          <w:rFonts w:cs="Arial"/>
          <w:szCs w:val="22"/>
        </w:rPr>
        <w:t>Premedikace/sedace značně snižuje riziko excitace</w:t>
      </w:r>
      <w:r w:rsidRPr="00C21BDD">
        <w:rPr>
          <w:szCs w:val="22"/>
        </w:rPr>
        <w:t>.</w:t>
      </w:r>
    </w:p>
    <w:p w14:paraId="1AA47D97" w14:textId="77777777" w:rsidR="00965449" w:rsidRPr="00C21BDD" w:rsidRDefault="00965449" w:rsidP="00965449">
      <w:pPr>
        <w:tabs>
          <w:tab w:val="clear" w:pos="567"/>
        </w:tabs>
        <w:spacing w:line="240" w:lineRule="auto"/>
        <w:rPr>
          <w:szCs w:val="22"/>
        </w:rPr>
      </w:pPr>
    </w:p>
    <w:p w14:paraId="3372DC34" w14:textId="77777777" w:rsidR="00965449" w:rsidRPr="00C21BDD" w:rsidRDefault="00965449" w:rsidP="00965449">
      <w:pPr>
        <w:rPr>
          <w:rFonts w:cs="Arial"/>
          <w:bCs/>
          <w:szCs w:val="22"/>
        </w:rPr>
      </w:pPr>
      <w:r w:rsidRPr="00C21BDD">
        <w:rPr>
          <w:rFonts w:cs="Arial"/>
          <w:szCs w:val="22"/>
        </w:rPr>
        <w:t>V případě perivaskulárního podání nebo podání do orgánů/tkání, ze kterých dochází k nízké absorpci přípravku, může dojít k prodloužení doby do okamžiku smrti. Perivaskulární nebo subkutánní podání barbiturátů může mít za následek podráždění tkáně.</w:t>
      </w:r>
    </w:p>
    <w:p w14:paraId="45F29FC5" w14:textId="77777777" w:rsidR="00F520FE" w:rsidRPr="00C21BDD" w:rsidRDefault="00F520FE" w:rsidP="00A9226B">
      <w:pPr>
        <w:tabs>
          <w:tab w:val="clear" w:pos="567"/>
        </w:tabs>
        <w:spacing w:line="240" w:lineRule="auto"/>
        <w:rPr>
          <w:iCs/>
          <w:szCs w:val="22"/>
        </w:rPr>
      </w:pPr>
    </w:p>
    <w:p w14:paraId="0463E956" w14:textId="4407002C" w:rsidR="00C817DA" w:rsidRDefault="00EE2014" w:rsidP="00A9226B">
      <w:pPr>
        <w:tabs>
          <w:tab w:val="clear" w:pos="567"/>
        </w:tabs>
        <w:spacing w:line="240" w:lineRule="auto"/>
      </w:pPr>
      <w:r w:rsidRPr="00B41D57">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 rozhodnutí o registraci s využitím kontaktních údajů uvedených na konci této příbalové informace nebo prostřednictvím národního systému hlášení nežádoucích účinků</w:t>
      </w:r>
      <w:r>
        <w:t>:</w:t>
      </w:r>
    </w:p>
    <w:p w14:paraId="0D90A8CB" w14:textId="77777777" w:rsidR="00EE2014" w:rsidRPr="002B10C4" w:rsidRDefault="00EE2014" w:rsidP="00EE2014">
      <w:pPr>
        <w:tabs>
          <w:tab w:val="left" w:pos="-720"/>
        </w:tabs>
        <w:suppressAutoHyphens/>
        <w:rPr>
          <w:rFonts w:cs="Arial"/>
          <w:szCs w:val="22"/>
        </w:rPr>
      </w:pPr>
      <w:r w:rsidRPr="002B10C4">
        <w:rPr>
          <w:rFonts w:cs="Arial"/>
          <w:szCs w:val="22"/>
        </w:rPr>
        <w:t xml:space="preserve">Ústav pro státní kontrolu veterinárních biopreparátů a léčiv </w:t>
      </w:r>
    </w:p>
    <w:p w14:paraId="01A829EC" w14:textId="7CD2DC79" w:rsidR="00EE2014" w:rsidRPr="002B10C4" w:rsidRDefault="00EE2014" w:rsidP="00EE2014">
      <w:pPr>
        <w:tabs>
          <w:tab w:val="left" w:pos="-720"/>
        </w:tabs>
        <w:suppressAutoHyphens/>
        <w:rPr>
          <w:rFonts w:cs="Arial"/>
          <w:szCs w:val="22"/>
        </w:rPr>
      </w:pPr>
      <w:r w:rsidRPr="002B10C4">
        <w:rPr>
          <w:rFonts w:cs="Arial"/>
          <w:szCs w:val="22"/>
        </w:rPr>
        <w:t xml:space="preserve">Hudcova </w:t>
      </w:r>
      <w:r w:rsidR="00211374">
        <w:rPr>
          <w:rFonts w:cs="Arial"/>
          <w:szCs w:val="22"/>
        </w:rPr>
        <w:t>232/</w:t>
      </w:r>
      <w:proofErr w:type="gramStart"/>
      <w:r w:rsidRPr="002B10C4">
        <w:rPr>
          <w:rFonts w:cs="Arial"/>
          <w:szCs w:val="22"/>
        </w:rPr>
        <w:t>56a</w:t>
      </w:r>
      <w:proofErr w:type="gramEnd"/>
      <w:r w:rsidRPr="002B10C4">
        <w:rPr>
          <w:rFonts w:cs="Arial"/>
          <w:szCs w:val="22"/>
        </w:rPr>
        <w:t xml:space="preserve"> </w:t>
      </w:r>
    </w:p>
    <w:p w14:paraId="2B5D02BA" w14:textId="77777777" w:rsidR="00EE2014" w:rsidRPr="002B10C4" w:rsidRDefault="00EE2014" w:rsidP="00EE2014">
      <w:pPr>
        <w:tabs>
          <w:tab w:val="left" w:pos="-720"/>
        </w:tabs>
        <w:suppressAutoHyphens/>
        <w:rPr>
          <w:rFonts w:cs="Arial"/>
          <w:szCs w:val="22"/>
        </w:rPr>
      </w:pPr>
      <w:r w:rsidRPr="002B10C4">
        <w:rPr>
          <w:rFonts w:cs="Arial"/>
          <w:szCs w:val="22"/>
        </w:rPr>
        <w:lastRenderedPageBreak/>
        <w:t>621 00 Brno</w:t>
      </w:r>
    </w:p>
    <w:p w14:paraId="2A3E51B2" w14:textId="5B9E7C63" w:rsidR="00EE2014" w:rsidRPr="002B10C4" w:rsidRDefault="00211374" w:rsidP="00EE2014">
      <w:pPr>
        <w:tabs>
          <w:tab w:val="left" w:pos="-720"/>
        </w:tabs>
        <w:suppressAutoHyphens/>
        <w:rPr>
          <w:rFonts w:cs="Arial"/>
          <w:szCs w:val="22"/>
        </w:rPr>
      </w:pPr>
      <w:r>
        <w:rPr>
          <w:rFonts w:cs="Arial"/>
          <w:szCs w:val="22"/>
        </w:rPr>
        <w:t>e-m</w:t>
      </w:r>
      <w:r w:rsidR="00EE2014" w:rsidRPr="002B10C4">
        <w:rPr>
          <w:rFonts w:cs="Arial"/>
          <w:szCs w:val="22"/>
        </w:rPr>
        <w:t xml:space="preserve">ail: </w:t>
      </w:r>
      <w:hyperlink r:id="rId8" w:history="1">
        <w:r w:rsidR="00EE2014" w:rsidRPr="002B10C4">
          <w:rPr>
            <w:rStyle w:val="Hypertextovodkaz"/>
            <w:rFonts w:cs="Arial"/>
            <w:szCs w:val="22"/>
          </w:rPr>
          <w:t>adr@uskvbl.cz</w:t>
        </w:r>
      </w:hyperlink>
    </w:p>
    <w:p w14:paraId="7017BA09" w14:textId="33D0DA84" w:rsidR="00EE2014" w:rsidRDefault="00EE2014" w:rsidP="00EE2014">
      <w:pPr>
        <w:tabs>
          <w:tab w:val="clear" w:pos="567"/>
        </w:tabs>
        <w:spacing w:line="240" w:lineRule="auto"/>
        <w:rPr>
          <w:szCs w:val="22"/>
        </w:rPr>
      </w:pPr>
      <w:r w:rsidRPr="002B10C4">
        <w:rPr>
          <w:rFonts w:cs="Arial"/>
          <w:szCs w:val="22"/>
        </w:rPr>
        <w:t xml:space="preserve">Webové stránky: </w:t>
      </w:r>
      <w:hyperlink r:id="rId9" w:history="1">
        <w:r w:rsidRPr="002B10C4">
          <w:rPr>
            <w:rStyle w:val="Hypertextovodkaz"/>
            <w:rFonts w:cs="Arial"/>
            <w:szCs w:val="22"/>
          </w:rPr>
          <w:t>http://www.uskvbl.cz/cs/farmakovigilance</w:t>
        </w:r>
      </w:hyperlink>
    </w:p>
    <w:p w14:paraId="23F320BF" w14:textId="77777777" w:rsidR="00EE2014" w:rsidRDefault="00EE2014" w:rsidP="00EE2014">
      <w:pPr>
        <w:tabs>
          <w:tab w:val="clear" w:pos="567"/>
        </w:tabs>
        <w:spacing w:line="240" w:lineRule="auto"/>
        <w:rPr>
          <w:szCs w:val="22"/>
        </w:rPr>
      </w:pPr>
    </w:p>
    <w:p w14:paraId="441785B1" w14:textId="77777777" w:rsidR="00EE2014" w:rsidRPr="00C21BDD" w:rsidRDefault="00EE2014" w:rsidP="00EE2014">
      <w:pPr>
        <w:tabs>
          <w:tab w:val="clear" w:pos="567"/>
        </w:tabs>
        <w:spacing w:line="240" w:lineRule="auto"/>
        <w:rPr>
          <w:iCs/>
          <w:szCs w:val="22"/>
        </w:rPr>
      </w:pPr>
    </w:p>
    <w:p w14:paraId="07E81E97" w14:textId="77777777" w:rsidR="00C114FF" w:rsidRPr="00C21BDD" w:rsidRDefault="00C605FD" w:rsidP="00B13B6D">
      <w:pPr>
        <w:pStyle w:val="Style1"/>
      </w:pPr>
      <w:r w:rsidRPr="00C21BDD">
        <w:rPr>
          <w:highlight w:val="lightGray"/>
        </w:rPr>
        <w:t>8.</w:t>
      </w:r>
      <w:r w:rsidRPr="00C21BDD">
        <w:tab/>
        <w:t>Dávkování pro každý druh, cesty a způsob podání</w:t>
      </w:r>
    </w:p>
    <w:p w14:paraId="6EEA3383" w14:textId="77777777" w:rsidR="00C114FF" w:rsidRPr="00C21BDD" w:rsidRDefault="00C114FF" w:rsidP="00A9226B">
      <w:pPr>
        <w:tabs>
          <w:tab w:val="clear" w:pos="567"/>
        </w:tabs>
        <w:spacing w:line="240" w:lineRule="auto"/>
        <w:rPr>
          <w:szCs w:val="22"/>
        </w:rPr>
      </w:pPr>
    </w:p>
    <w:p w14:paraId="653D1C5A" w14:textId="19CACCB0" w:rsidR="0072314B" w:rsidRDefault="0072314B" w:rsidP="00C817DA">
      <w:pPr>
        <w:spacing w:line="240" w:lineRule="auto"/>
        <w:rPr>
          <w:szCs w:val="22"/>
        </w:rPr>
      </w:pPr>
      <w:r>
        <w:rPr>
          <w:szCs w:val="22"/>
        </w:rPr>
        <w:t>Intravenózní, intrakardiální nebo intraperitoneální podání.</w:t>
      </w:r>
    </w:p>
    <w:p w14:paraId="3D20659E" w14:textId="77777777" w:rsidR="0072314B" w:rsidRDefault="0072314B" w:rsidP="00C817DA">
      <w:pPr>
        <w:spacing w:line="240" w:lineRule="auto"/>
        <w:rPr>
          <w:szCs w:val="22"/>
        </w:rPr>
      </w:pPr>
    </w:p>
    <w:p w14:paraId="4CCFA681" w14:textId="417FF740" w:rsidR="00C817DA" w:rsidRPr="00C21BDD" w:rsidRDefault="00C817DA" w:rsidP="00C817DA">
      <w:pPr>
        <w:spacing w:line="240" w:lineRule="auto"/>
        <w:rPr>
          <w:szCs w:val="22"/>
        </w:rPr>
      </w:pPr>
      <w:r w:rsidRPr="00C21BDD">
        <w:rPr>
          <w:szCs w:val="22"/>
        </w:rPr>
        <w:t xml:space="preserve">Dávka pentobarbitalu sodného v množství 140 mg na kg živé hmotnosti, což odpovídá 0,28 ml přípravku/kg ž.hm., je obecně považována za postačující pro všechny uvedené cesty podání. </w:t>
      </w:r>
    </w:p>
    <w:p w14:paraId="553373A3" w14:textId="77777777" w:rsidR="00C817DA" w:rsidRPr="00C21BDD" w:rsidRDefault="00C817DA" w:rsidP="00C817DA">
      <w:pPr>
        <w:spacing w:line="240" w:lineRule="auto"/>
        <w:rPr>
          <w:szCs w:val="22"/>
        </w:rPr>
      </w:pPr>
      <w:r w:rsidRPr="00C21BDD">
        <w:rPr>
          <w:szCs w:val="22"/>
        </w:rPr>
        <w:t xml:space="preserve">U malých zvířat mohou být použity vyšší dávky, a to zejména při intraperitoneálním podání. </w:t>
      </w:r>
    </w:p>
    <w:p w14:paraId="31E806B6" w14:textId="77777777" w:rsidR="00C817DA" w:rsidRPr="00C21BDD" w:rsidRDefault="00C817DA" w:rsidP="00C817DA">
      <w:pPr>
        <w:spacing w:line="240" w:lineRule="auto"/>
        <w:rPr>
          <w:szCs w:val="22"/>
        </w:rPr>
      </w:pPr>
    </w:p>
    <w:p w14:paraId="2D564D6F" w14:textId="77777777" w:rsidR="00C817DA" w:rsidRPr="00C21BDD" w:rsidRDefault="00C817DA" w:rsidP="00C817DA">
      <w:pPr>
        <w:spacing w:line="240" w:lineRule="auto"/>
        <w:rPr>
          <w:szCs w:val="22"/>
        </w:rPr>
      </w:pPr>
      <w:r w:rsidRPr="00C21BDD">
        <w:rPr>
          <w:szCs w:val="22"/>
        </w:rPr>
        <w:t xml:space="preserve">Intravenózní podání by mělo být cestou volby, a pokud to veterinární lékař považuje za nutné, měla by být provedena přiměřená sedace. U koní, skotu a prasat je nutná premedikace. </w:t>
      </w:r>
    </w:p>
    <w:p w14:paraId="4AF349D2" w14:textId="77777777" w:rsidR="009A5B26" w:rsidRDefault="009A5B26" w:rsidP="00C817DA">
      <w:pPr>
        <w:spacing w:line="240" w:lineRule="auto"/>
        <w:rPr>
          <w:szCs w:val="22"/>
        </w:rPr>
      </w:pPr>
    </w:p>
    <w:p w14:paraId="62E56294" w14:textId="2512527D" w:rsidR="00C817DA" w:rsidRDefault="00C817DA" w:rsidP="00C817DA">
      <w:pPr>
        <w:spacing w:line="240" w:lineRule="auto"/>
        <w:rPr>
          <w:szCs w:val="22"/>
        </w:rPr>
      </w:pPr>
      <w:r w:rsidRPr="00C21BDD">
        <w:rPr>
          <w:szCs w:val="22"/>
        </w:rPr>
        <w:t xml:space="preserve">Pokud je intravenózní podání obtížné a pouze po hluboké sedaci nebo anestézii, může být </w:t>
      </w:r>
      <w:r w:rsidR="0072314B">
        <w:rPr>
          <w:szCs w:val="22"/>
        </w:rPr>
        <w:t xml:space="preserve">veterinární léčivý </w:t>
      </w:r>
      <w:r w:rsidRPr="00C21BDD">
        <w:rPr>
          <w:szCs w:val="22"/>
        </w:rPr>
        <w:t>přípravek alternativně podán intrakardiální cestou u všech druhů kromě skotu a koní.</w:t>
      </w:r>
    </w:p>
    <w:p w14:paraId="101B9F86" w14:textId="77777777" w:rsidR="009A5B26" w:rsidRPr="00C21BDD" w:rsidRDefault="009A5B26" w:rsidP="00C817DA">
      <w:pPr>
        <w:spacing w:line="240" w:lineRule="auto"/>
        <w:rPr>
          <w:szCs w:val="22"/>
        </w:rPr>
      </w:pPr>
    </w:p>
    <w:p w14:paraId="1503BE01" w14:textId="77777777" w:rsidR="00C817DA" w:rsidRPr="00C21BDD" w:rsidRDefault="00C817DA" w:rsidP="00C817DA">
      <w:pPr>
        <w:spacing w:line="240" w:lineRule="auto"/>
        <w:rPr>
          <w:szCs w:val="22"/>
        </w:rPr>
      </w:pPr>
      <w:r w:rsidRPr="00C21BDD">
        <w:rPr>
          <w:szCs w:val="22"/>
        </w:rPr>
        <w:t>Pouze u malých zvířat lze alternativně použít intraperitoneální podání, ale pouze po vhodné sedaci.</w:t>
      </w:r>
    </w:p>
    <w:p w14:paraId="4B9CF7F7" w14:textId="77777777" w:rsidR="00C817DA" w:rsidRPr="00C21BDD" w:rsidRDefault="00C817DA" w:rsidP="00C817DA">
      <w:pPr>
        <w:spacing w:line="240" w:lineRule="auto"/>
        <w:rPr>
          <w:szCs w:val="22"/>
        </w:rPr>
      </w:pPr>
    </w:p>
    <w:p w14:paraId="5FE1A322" w14:textId="77777777" w:rsidR="00C817DA" w:rsidRPr="00C21BDD" w:rsidRDefault="00C817DA" w:rsidP="00C817DA">
      <w:pPr>
        <w:spacing w:line="240" w:lineRule="auto"/>
        <w:rPr>
          <w:szCs w:val="22"/>
        </w:rPr>
      </w:pPr>
      <w:r w:rsidRPr="00C21BDD">
        <w:rPr>
          <w:szCs w:val="22"/>
        </w:rPr>
        <w:t>Je třeba pečlivě dodržovat různé způsoby podávání u každého živočišného druhu (viz schéma).</w:t>
      </w:r>
    </w:p>
    <w:p w14:paraId="6E3C3879" w14:textId="77777777" w:rsidR="00C817DA" w:rsidRPr="00C21BDD" w:rsidRDefault="00C817DA" w:rsidP="00C817DA">
      <w:pPr>
        <w:spacing w:line="240" w:lineRule="auto"/>
        <w:rPr>
          <w:szCs w:val="22"/>
        </w:rPr>
      </w:pPr>
    </w:p>
    <w:p w14:paraId="174F7418" w14:textId="77777777" w:rsidR="00C817DA" w:rsidRPr="00C21BDD" w:rsidRDefault="00C817DA" w:rsidP="00C817DA">
      <w:pPr>
        <w:spacing w:line="240" w:lineRule="auto"/>
        <w:rPr>
          <w:szCs w:val="22"/>
        </w:rPr>
      </w:pPr>
      <w:r w:rsidRPr="00C21BDD">
        <w:rPr>
          <w:szCs w:val="22"/>
        </w:rPr>
        <w:t>Koně, skot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4529"/>
      </w:tblGrid>
      <w:tr w:rsidR="00C817DA" w:rsidRPr="00C21BDD" w14:paraId="4F5D19C2" w14:textId="77777777" w:rsidTr="001C482A">
        <w:trPr>
          <w:trHeight w:val="140"/>
        </w:trPr>
        <w:tc>
          <w:tcPr>
            <w:tcW w:w="4605" w:type="dxa"/>
            <w:shd w:val="clear" w:color="auto" w:fill="auto"/>
          </w:tcPr>
          <w:p w14:paraId="5E257331" w14:textId="77777777" w:rsidR="00C817DA" w:rsidRPr="00C21BDD" w:rsidRDefault="00C817DA" w:rsidP="001C482A">
            <w:pPr>
              <w:spacing w:line="240" w:lineRule="auto"/>
              <w:ind w:left="164" w:hanging="142"/>
              <w:rPr>
                <w:szCs w:val="22"/>
              </w:rPr>
            </w:pPr>
            <w:r w:rsidRPr="00C21BDD">
              <w:rPr>
                <w:szCs w:val="22"/>
              </w:rPr>
              <w:t>-</w:t>
            </w:r>
            <w:r w:rsidRPr="00C21BDD">
              <w:rPr>
                <w:szCs w:val="22"/>
              </w:rPr>
              <w:tab/>
              <w:t>Rychlé intravenózní podání</w:t>
            </w:r>
          </w:p>
        </w:tc>
        <w:tc>
          <w:tcPr>
            <w:tcW w:w="4606" w:type="dxa"/>
            <w:shd w:val="clear" w:color="auto" w:fill="auto"/>
          </w:tcPr>
          <w:p w14:paraId="5DC0FAA9" w14:textId="77777777" w:rsidR="00C817DA" w:rsidRPr="00C21BDD" w:rsidRDefault="00C817DA" w:rsidP="001C482A">
            <w:pPr>
              <w:spacing w:line="240" w:lineRule="auto"/>
              <w:rPr>
                <w:szCs w:val="22"/>
              </w:rPr>
            </w:pPr>
            <w:r w:rsidRPr="00C21BDD">
              <w:rPr>
                <w:szCs w:val="22"/>
              </w:rPr>
              <w:t>Premedikace je povinná</w:t>
            </w:r>
          </w:p>
        </w:tc>
      </w:tr>
    </w:tbl>
    <w:p w14:paraId="41B204B0" w14:textId="77777777" w:rsidR="00C817DA" w:rsidRPr="00C21BDD" w:rsidRDefault="00C817DA" w:rsidP="00C817DA">
      <w:pPr>
        <w:spacing w:line="240" w:lineRule="auto"/>
        <w:rPr>
          <w:szCs w:val="22"/>
        </w:rPr>
      </w:pPr>
    </w:p>
    <w:p w14:paraId="656AAC47" w14:textId="77777777" w:rsidR="00C817DA" w:rsidRPr="00C21BDD" w:rsidRDefault="00C817DA" w:rsidP="00C817DA">
      <w:pPr>
        <w:spacing w:line="240" w:lineRule="auto"/>
        <w:rPr>
          <w:szCs w:val="22"/>
        </w:rPr>
      </w:pPr>
      <w:r w:rsidRPr="00C21BDD">
        <w:rPr>
          <w:szCs w:val="22"/>
        </w:rPr>
        <w:t>Prasata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7"/>
      </w:tblGrid>
      <w:tr w:rsidR="00C817DA" w:rsidRPr="00C21BDD" w14:paraId="1501C02F" w14:textId="77777777" w:rsidTr="001C482A">
        <w:tc>
          <w:tcPr>
            <w:tcW w:w="4605" w:type="dxa"/>
            <w:shd w:val="clear" w:color="auto" w:fill="auto"/>
          </w:tcPr>
          <w:p w14:paraId="485FFF8D" w14:textId="77777777" w:rsidR="00C817DA" w:rsidRPr="00C21BDD" w:rsidRDefault="00C817DA" w:rsidP="001C482A">
            <w:pPr>
              <w:spacing w:line="240" w:lineRule="auto"/>
              <w:ind w:left="164" w:hanging="164"/>
              <w:rPr>
                <w:szCs w:val="22"/>
              </w:rPr>
            </w:pPr>
            <w:r w:rsidRPr="00C21BDD">
              <w:rPr>
                <w:szCs w:val="22"/>
              </w:rPr>
              <w:t>-</w:t>
            </w:r>
            <w:r w:rsidRPr="00C21BDD">
              <w:rPr>
                <w:szCs w:val="22"/>
              </w:rPr>
              <w:tab/>
              <w:t>Rychlé intravenózní podání</w:t>
            </w:r>
          </w:p>
          <w:p w14:paraId="25DBA34F" w14:textId="77777777" w:rsidR="00C817DA" w:rsidRPr="00C21BDD" w:rsidRDefault="00C817DA" w:rsidP="001C482A">
            <w:pPr>
              <w:spacing w:line="240" w:lineRule="auto"/>
              <w:ind w:left="164" w:hanging="164"/>
              <w:rPr>
                <w:szCs w:val="22"/>
              </w:rPr>
            </w:pPr>
            <w:r w:rsidRPr="00C21BDD">
              <w:rPr>
                <w:szCs w:val="22"/>
              </w:rPr>
              <w:t>-</w:t>
            </w:r>
            <w:r w:rsidRPr="00C21BDD">
              <w:rPr>
                <w:szCs w:val="22"/>
              </w:rPr>
              <w:tab/>
              <w:t>Způsob podání závisí na věku a hmotnosti jedince a může to být intravenózní podání do vena cava cranialis nebo ušní žíly.</w:t>
            </w:r>
          </w:p>
          <w:p w14:paraId="7614D46E" w14:textId="77777777" w:rsidR="00C817DA" w:rsidRPr="00C21BDD" w:rsidRDefault="00C817DA" w:rsidP="001C482A">
            <w:pPr>
              <w:spacing w:line="240" w:lineRule="auto"/>
              <w:ind w:left="164" w:hanging="164"/>
              <w:rPr>
                <w:szCs w:val="22"/>
              </w:rPr>
            </w:pPr>
            <w:r w:rsidRPr="00C21BDD">
              <w:rPr>
                <w:szCs w:val="22"/>
              </w:rPr>
              <w:t>-</w:t>
            </w:r>
            <w:r w:rsidRPr="00C21BDD">
              <w:rPr>
                <w:szCs w:val="22"/>
              </w:rPr>
              <w:tab/>
              <w:t xml:space="preserve">Intrakardiální podání </w:t>
            </w:r>
          </w:p>
        </w:tc>
        <w:tc>
          <w:tcPr>
            <w:tcW w:w="4606" w:type="dxa"/>
            <w:shd w:val="clear" w:color="auto" w:fill="auto"/>
          </w:tcPr>
          <w:p w14:paraId="18266BC9" w14:textId="77777777" w:rsidR="00C817DA" w:rsidRPr="00C21BDD" w:rsidRDefault="00C817DA" w:rsidP="001C482A">
            <w:pPr>
              <w:spacing w:line="240" w:lineRule="auto"/>
              <w:rPr>
                <w:szCs w:val="22"/>
              </w:rPr>
            </w:pPr>
            <w:r w:rsidRPr="00C21BDD">
              <w:rPr>
                <w:szCs w:val="22"/>
              </w:rPr>
              <w:t>Premedikace je povinná</w:t>
            </w:r>
          </w:p>
        </w:tc>
      </w:tr>
    </w:tbl>
    <w:p w14:paraId="7F368D75" w14:textId="77777777" w:rsidR="00C817DA" w:rsidRPr="00C21BDD" w:rsidRDefault="00C817DA" w:rsidP="00C817DA">
      <w:pPr>
        <w:spacing w:line="240" w:lineRule="auto"/>
        <w:rPr>
          <w:szCs w:val="22"/>
        </w:rPr>
      </w:pPr>
    </w:p>
    <w:p w14:paraId="6ADDBF28" w14:textId="77777777" w:rsidR="00C817DA" w:rsidRPr="00C21BDD" w:rsidRDefault="00C817DA" w:rsidP="00C817DA">
      <w:pPr>
        <w:spacing w:line="240" w:lineRule="auto"/>
        <w:rPr>
          <w:szCs w:val="22"/>
        </w:rPr>
      </w:pPr>
      <w:r w:rsidRPr="00C21BDD">
        <w:rPr>
          <w:szCs w:val="22"/>
        </w:rPr>
        <w:t xml:space="preserve">Ovce, kozy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3"/>
        <w:gridCol w:w="4528"/>
      </w:tblGrid>
      <w:tr w:rsidR="00C817DA" w:rsidRPr="00C21BDD" w14:paraId="31A56604" w14:textId="77777777" w:rsidTr="001C482A">
        <w:tc>
          <w:tcPr>
            <w:tcW w:w="4605" w:type="dxa"/>
            <w:shd w:val="clear" w:color="auto" w:fill="auto"/>
          </w:tcPr>
          <w:p w14:paraId="57FB52E6" w14:textId="77777777" w:rsidR="00C817DA" w:rsidRPr="00C21BDD" w:rsidRDefault="00C817DA" w:rsidP="001C482A">
            <w:pPr>
              <w:spacing w:line="240" w:lineRule="auto"/>
              <w:ind w:left="164" w:hanging="164"/>
              <w:rPr>
                <w:szCs w:val="22"/>
              </w:rPr>
            </w:pPr>
            <w:r w:rsidRPr="00C21BDD">
              <w:rPr>
                <w:szCs w:val="22"/>
              </w:rPr>
              <w:t>-</w:t>
            </w:r>
            <w:r w:rsidRPr="00C21BDD">
              <w:rPr>
                <w:szCs w:val="22"/>
              </w:rPr>
              <w:tab/>
              <w:t>Rychlé intravenózní podání</w:t>
            </w:r>
          </w:p>
          <w:p w14:paraId="5FA814A6" w14:textId="77777777" w:rsidR="00C817DA" w:rsidRPr="00C21BDD" w:rsidRDefault="00C817DA" w:rsidP="001C482A">
            <w:pPr>
              <w:spacing w:line="240" w:lineRule="auto"/>
              <w:ind w:left="164" w:hanging="164"/>
              <w:rPr>
                <w:szCs w:val="22"/>
              </w:rPr>
            </w:pPr>
            <w:r w:rsidRPr="00C21BDD">
              <w:rPr>
                <w:szCs w:val="22"/>
              </w:rPr>
              <w:t>-</w:t>
            </w:r>
            <w:r w:rsidRPr="00C21BDD">
              <w:rPr>
                <w:szCs w:val="22"/>
              </w:rPr>
              <w:tab/>
              <w:t>Intrakardiální podání</w:t>
            </w:r>
          </w:p>
        </w:tc>
        <w:tc>
          <w:tcPr>
            <w:tcW w:w="4606" w:type="dxa"/>
            <w:shd w:val="clear" w:color="auto" w:fill="auto"/>
          </w:tcPr>
          <w:p w14:paraId="4E2D0F01" w14:textId="77777777" w:rsidR="00C817DA" w:rsidRPr="00C21BDD" w:rsidRDefault="00C817DA" w:rsidP="001C482A">
            <w:pPr>
              <w:spacing w:line="240" w:lineRule="auto"/>
              <w:rPr>
                <w:szCs w:val="22"/>
              </w:rPr>
            </w:pPr>
            <w:r w:rsidRPr="00C21BDD">
              <w:rPr>
                <w:szCs w:val="22"/>
              </w:rPr>
              <w:t>Při použití intrakardiální cesty je premedikace povinná.</w:t>
            </w:r>
          </w:p>
        </w:tc>
      </w:tr>
    </w:tbl>
    <w:p w14:paraId="31477A53" w14:textId="77777777" w:rsidR="00C817DA" w:rsidRPr="00C21BDD" w:rsidRDefault="00C817DA" w:rsidP="00C817DA">
      <w:pPr>
        <w:spacing w:line="240" w:lineRule="auto"/>
        <w:rPr>
          <w:szCs w:val="22"/>
        </w:rPr>
      </w:pPr>
    </w:p>
    <w:p w14:paraId="1E2C97F3" w14:textId="77777777" w:rsidR="00C817DA" w:rsidRPr="00C21BDD" w:rsidRDefault="00C817DA" w:rsidP="00C817DA">
      <w:pPr>
        <w:spacing w:line="240" w:lineRule="auto"/>
        <w:rPr>
          <w:szCs w:val="22"/>
        </w:rPr>
      </w:pPr>
      <w:r w:rsidRPr="00C21BDD">
        <w:rPr>
          <w:szCs w:val="22"/>
        </w:rPr>
        <w:t>Psi, kočky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7"/>
      </w:tblGrid>
      <w:tr w:rsidR="00C817DA" w:rsidRPr="00C21BDD" w14:paraId="4E48CA34" w14:textId="77777777" w:rsidTr="001C482A">
        <w:tc>
          <w:tcPr>
            <w:tcW w:w="4605" w:type="dxa"/>
            <w:shd w:val="clear" w:color="auto" w:fill="auto"/>
          </w:tcPr>
          <w:p w14:paraId="2FCDF7EE" w14:textId="77777777" w:rsidR="00C817DA" w:rsidRPr="00C21BDD" w:rsidRDefault="00C817DA" w:rsidP="001C482A">
            <w:pPr>
              <w:spacing w:line="240" w:lineRule="auto"/>
              <w:ind w:left="164" w:hanging="164"/>
              <w:rPr>
                <w:szCs w:val="22"/>
              </w:rPr>
            </w:pPr>
            <w:r w:rsidRPr="00C21BDD">
              <w:rPr>
                <w:szCs w:val="22"/>
              </w:rPr>
              <w:t>-</w:t>
            </w:r>
            <w:r w:rsidRPr="00C21BDD">
              <w:rPr>
                <w:szCs w:val="22"/>
              </w:rPr>
              <w:tab/>
              <w:t>Intravenózní podání s kontinuální rychlostí podání, dokud není dosaženo stavu bezvědomí.</w:t>
            </w:r>
          </w:p>
          <w:p w14:paraId="0BAD3736" w14:textId="77777777" w:rsidR="00C817DA" w:rsidRPr="00C21BDD" w:rsidRDefault="00C817DA" w:rsidP="001C482A">
            <w:pPr>
              <w:spacing w:line="240" w:lineRule="auto"/>
              <w:ind w:left="164" w:hanging="164"/>
              <w:rPr>
                <w:szCs w:val="22"/>
              </w:rPr>
            </w:pPr>
            <w:r w:rsidRPr="00C21BDD">
              <w:rPr>
                <w:szCs w:val="22"/>
              </w:rPr>
              <w:t>-</w:t>
            </w:r>
            <w:r w:rsidRPr="00C21BDD">
              <w:rPr>
                <w:szCs w:val="22"/>
              </w:rPr>
              <w:tab/>
              <w:t>Intrakardiální podání</w:t>
            </w:r>
          </w:p>
          <w:p w14:paraId="0F2BCC9D" w14:textId="77777777" w:rsidR="00C817DA" w:rsidRPr="00C21BDD" w:rsidRDefault="00C817DA" w:rsidP="001C482A">
            <w:pPr>
              <w:spacing w:line="240" w:lineRule="auto"/>
              <w:ind w:left="164" w:hanging="164"/>
              <w:rPr>
                <w:szCs w:val="22"/>
              </w:rPr>
            </w:pPr>
            <w:r w:rsidRPr="00C21BDD">
              <w:rPr>
                <w:szCs w:val="22"/>
              </w:rPr>
              <w:t>-</w:t>
            </w:r>
            <w:r w:rsidRPr="00C21BDD">
              <w:rPr>
                <w:szCs w:val="22"/>
              </w:rPr>
              <w:tab/>
              <w:t xml:space="preserve">Intraperitoneální podání </w:t>
            </w:r>
          </w:p>
        </w:tc>
        <w:tc>
          <w:tcPr>
            <w:tcW w:w="4606" w:type="dxa"/>
            <w:shd w:val="clear" w:color="auto" w:fill="auto"/>
          </w:tcPr>
          <w:p w14:paraId="1E556D24" w14:textId="77777777" w:rsidR="00C817DA" w:rsidRPr="00C21BDD" w:rsidRDefault="00C817DA" w:rsidP="001C482A">
            <w:pPr>
              <w:spacing w:line="240" w:lineRule="auto"/>
              <w:rPr>
                <w:szCs w:val="22"/>
              </w:rPr>
            </w:pPr>
            <w:r w:rsidRPr="00C21BDD">
              <w:rPr>
                <w:szCs w:val="22"/>
              </w:rPr>
              <w:t>Při použití intrakardiální nebo intraperitoneální cesty je premedikace povinná.</w:t>
            </w:r>
          </w:p>
        </w:tc>
      </w:tr>
    </w:tbl>
    <w:p w14:paraId="59821BB5" w14:textId="77777777" w:rsidR="00C817DA" w:rsidRPr="00C21BDD" w:rsidRDefault="00C817DA" w:rsidP="00C817DA">
      <w:pPr>
        <w:spacing w:line="240" w:lineRule="auto"/>
        <w:rPr>
          <w:szCs w:val="22"/>
        </w:rPr>
      </w:pPr>
    </w:p>
    <w:p w14:paraId="6F6DE164" w14:textId="77777777" w:rsidR="00C817DA" w:rsidRPr="00C21BDD" w:rsidRDefault="00C817DA" w:rsidP="00C817DA">
      <w:pPr>
        <w:spacing w:line="240" w:lineRule="auto"/>
        <w:rPr>
          <w:szCs w:val="22"/>
        </w:rPr>
      </w:pPr>
      <w:r w:rsidRPr="00C21BDD">
        <w:rPr>
          <w:szCs w:val="22"/>
        </w:rPr>
        <w:t>Králíci, hlodavci, norci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7"/>
      </w:tblGrid>
      <w:tr w:rsidR="00C817DA" w:rsidRPr="00C21BDD" w14:paraId="34231BF6" w14:textId="77777777" w:rsidTr="001C482A">
        <w:trPr>
          <w:trHeight w:val="807"/>
        </w:trPr>
        <w:tc>
          <w:tcPr>
            <w:tcW w:w="4605" w:type="dxa"/>
            <w:shd w:val="clear" w:color="auto" w:fill="auto"/>
          </w:tcPr>
          <w:p w14:paraId="656CB615" w14:textId="77777777" w:rsidR="00C817DA" w:rsidRPr="00C21BDD" w:rsidRDefault="00C817DA" w:rsidP="001C482A">
            <w:pPr>
              <w:spacing w:line="240" w:lineRule="auto"/>
              <w:ind w:left="164" w:hanging="164"/>
              <w:rPr>
                <w:szCs w:val="22"/>
              </w:rPr>
            </w:pPr>
            <w:r w:rsidRPr="00C21BDD">
              <w:rPr>
                <w:szCs w:val="22"/>
              </w:rPr>
              <w:t>-</w:t>
            </w:r>
            <w:r w:rsidRPr="00C21BDD">
              <w:rPr>
                <w:szCs w:val="22"/>
              </w:rPr>
              <w:tab/>
              <w:t xml:space="preserve">Intravenózní podání </w:t>
            </w:r>
          </w:p>
          <w:p w14:paraId="16922E1B" w14:textId="77777777" w:rsidR="00C817DA" w:rsidRPr="00C21BDD" w:rsidRDefault="00C817DA" w:rsidP="001C482A">
            <w:pPr>
              <w:spacing w:line="240" w:lineRule="auto"/>
              <w:ind w:left="164" w:hanging="164"/>
              <w:rPr>
                <w:szCs w:val="22"/>
              </w:rPr>
            </w:pPr>
            <w:r w:rsidRPr="00C21BDD">
              <w:rPr>
                <w:szCs w:val="22"/>
              </w:rPr>
              <w:t>-</w:t>
            </w:r>
            <w:r w:rsidRPr="00C21BDD">
              <w:rPr>
                <w:szCs w:val="22"/>
              </w:rPr>
              <w:tab/>
              <w:t>Intrakardiální podání</w:t>
            </w:r>
          </w:p>
          <w:p w14:paraId="00FF798F" w14:textId="77777777" w:rsidR="00C817DA" w:rsidRPr="00C21BDD" w:rsidRDefault="00C817DA" w:rsidP="001C482A">
            <w:pPr>
              <w:spacing w:line="240" w:lineRule="auto"/>
              <w:ind w:left="164" w:hanging="164"/>
              <w:rPr>
                <w:szCs w:val="22"/>
              </w:rPr>
            </w:pPr>
            <w:r w:rsidRPr="00C21BDD">
              <w:rPr>
                <w:szCs w:val="22"/>
              </w:rPr>
              <w:t>-</w:t>
            </w:r>
            <w:r w:rsidRPr="00C21BDD">
              <w:rPr>
                <w:szCs w:val="22"/>
              </w:rPr>
              <w:tab/>
              <w:t>Intraperitoneální podání</w:t>
            </w:r>
          </w:p>
        </w:tc>
        <w:tc>
          <w:tcPr>
            <w:tcW w:w="4606" w:type="dxa"/>
            <w:shd w:val="clear" w:color="auto" w:fill="auto"/>
          </w:tcPr>
          <w:p w14:paraId="63E71BD1" w14:textId="77777777" w:rsidR="00C817DA" w:rsidRPr="00C21BDD" w:rsidRDefault="00C817DA" w:rsidP="001C482A">
            <w:pPr>
              <w:spacing w:line="240" w:lineRule="auto"/>
              <w:rPr>
                <w:szCs w:val="22"/>
              </w:rPr>
            </w:pPr>
            <w:r w:rsidRPr="00C21BDD">
              <w:rPr>
                <w:szCs w:val="22"/>
              </w:rPr>
              <w:t>Při použití intrakardiální nebo intraperitoneální cesty je premedikace povinná.</w:t>
            </w:r>
          </w:p>
        </w:tc>
      </w:tr>
    </w:tbl>
    <w:p w14:paraId="41F4750C" w14:textId="77777777" w:rsidR="00C817DA" w:rsidRPr="00C21BDD" w:rsidRDefault="00C817DA" w:rsidP="00C817DA">
      <w:pPr>
        <w:spacing w:line="240" w:lineRule="auto"/>
        <w:rPr>
          <w:szCs w:val="22"/>
        </w:rPr>
      </w:pPr>
    </w:p>
    <w:p w14:paraId="29C70C52" w14:textId="0CCF02FD" w:rsidR="00C80401" w:rsidRDefault="006E3C32" w:rsidP="00A9226B">
      <w:pPr>
        <w:tabs>
          <w:tab w:val="clear" w:pos="567"/>
        </w:tabs>
        <w:spacing w:line="240" w:lineRule="auto"/>
      </w:pPr>
      <w:r w:rsidRPr="00B41D57">
        <w:t>Pro zajištění správného dávkování je třeba co nejpřesněji stanovit živou hmotnost.</w:t>
      </w:r>
    </w:p>
    <w:p w14:paraId="65DD1CA2" w14:textId="77777777" w:rsidR="006E3C32" w:rsidRDefault="006E3C32" w:rsidP="00A9226B">
      <w:pPr>
        <w:tabs>
          <w:tab w:val="clear" w:pos="567"/>
        </w:tabs>
        <w:spacing w:line="240" w:lineRule="auto"/>
      </w:pPr>
    </w:p>
    <w:p w14:paraId="50FDC1D8" w14:textId="77777777" w:rsidR="006E3C32" w:rsidRPr="00C21BDD" w:rsidRDefault="006E3C32" w:rsidP="00A9226B">
      <w:pPr>
        <w:tabs>
          <w:tab w:val="clear" w:pos="567"/>
        </w:tabs>
        <w:spacing w:line="240" w:lineRule="auto"/>
        <w:rPr>
          <w:szCs w:val="22"/>
        </w:rPr>
      </w:pPr>
    </w:p>
    <w:p w14:paraId="543076A3" w14:textId="77777777" w:rsidR="00C114FF" w:rsidRPr="00C21BDD" w:rsidRDefault="00C605FD" w:rsidP="00B13B6D">
      <w:pPr>
        <w:pStyle w:val="Style1"/>
      </w:pPr>
      <w:r w:rsidRPr="00C21BDD">
        <w:rPr>
          <w:highlight w:val="lightGray"/>
        </w:rPr>
        <w:t>9.</w:t>
      </w:r>
      <w:r w:rsidRPr="00C21BDD">
        <w:tab/>
        <w:t>Informace o správném podávání</w:t>
      </w:r>
    </w:p>
    <w:p w14:paraId="624424AD" w14:textId="77777777" w:rsidR="00F520FE" w:rsidRPr="00C21BDD" w:rsidRDefault="00F520FE" w:rsidP="00F520FE">
      <w:pPr>
        <w:tabs>
          <w:tab w:val="clear" w:pos="567"/>
        </w:tabs>
        <w:spacing w:line="240" w:lineRule="auto"/>
        <w:rPr>
          <w:szCs w:val="22"/>
        </w:rPr>
      </w:pPr>
    </w:p>
    <w:p w14:paraId="1AA476D8" w14:textId="77777777" w:rsidR="00C817DA" w:rsidRPr="00C21BDD" w:rsidRDefault="00C817DA" w:rsidP="00C817DA">
      <w:pPr>
        <w:spacing w:line="240" w:lineRule="auto"/>
        <w:rPr>
          <w:szCs w:val="22"/>
        </w:rPr>
      </w:pPr>
      <w:r w:rsidRPr="00C21BDD">
        <w:rPr>
          <w:szCs w:val="22"/>
        </w:rPr>
        <w:t>Zátku lze propíchnout maximálně 40krát použitím jehly 21G.</w:t>
      </w:r>
    </w:p>
    <w:p w14:paraId="32700DC4" w14:textId="77777777" w:rsidR="00C817DA" w:rsidRPr="00C21BDD" w:rsidRDefault="00C817DA" w:rsidP="00C817DA">
      <w:pPr>
        <w:spacing w:line="240" w:lineRule="auto"/>
        <w:rPr>
          <w:szCs w:val="22"/>
        </w:rPr>
      </w:pPr>
      <w:r w:rsidRPr="00C21BDD">
        <w:rPr>
          <w:szCs w:val="22"/>
        </w:rPr>
        <w:t>Zátku lze propíchnout maximálně 10krát použitím jehly 18G.</w:t>
      </w:r>
    </w:p>
    <w:p w14:paraId="0FCCF51E" w14:textId="77777777" w:rsidR="00C817DA" w:rsidRPr="00C21BDD" w:rsidRDefault="00C817DA" w:rsidP="00C817DA">
      <w:pPr>
        <w:spacing w:line="240" w:lineRule="auto"/>
        <w:rPr>
          <w:szCs w:val="22"/>
        </w:rPr>
      </w:pPr>
      <w:r w:rsidRPr="00C21BDD">
        <w:rPr>
          <w:szCs w:val="22"/>
        </w:rPr>
        <w:lastRenderedPageBreak/>
        <w:t>Uživatel musí proto zvolit injekční lahvičku vhodné velikosti.</w:t>
      </w:r>
    </w:p>
    <w:p w14:paraId="208153DD" w14:textId="77777777" w:rsidR="001B26EB" w:rsidRPr="00C21BDD" w:rsidRDefault="001B26EB" w:rsidP="00A9226B">
      <w:pPr>
        <w:tabs>
          <w:tab w:val="clear" w:pos="567"/>
        </w:tabs>
        <w:spacing w:line="240" w:lineRule="auto"/>
        <w:rPr>
          <w:iCs/>
          <w:szCs w:val="22"/>
        </w:rPr>
      </w:pPr>
    </w:p>
    <w:p w14:paraId="365590AF" w14:textId="77777777" w:rsidR="00C817DA" w:rsidRPr="00C21BDD" w:rsidRDefault="00C817DA" w:rsidP="00A9226B">
      <w:pPr>
        <w:tabs>
          <w:tab w:val="clear" w:pos="567"/>
        </w:tabs>
        <w:spacing w:line="240" w:lineRule="auto"/>
        <w:rPr>
          <w:iCs/>
          <w:szCs w:val="22"/>
        </w:rPr>
      </w:pPr>
    </w:p>
    <w:p w14:paraId="1C7AFC49" w14:textId="77777777" w:rsidR="00DB468A" w:rsidRPr="00C21BDD" w:rsidRDefault="00C605FD" w:rsidP="00B13B6D">
      <w:pPr>
        <w:pStyle w:val="Style1"/>
      </w:pPr>
      <w:r w:rsidRPr="00C21BDD">
        <w:rPr>
          <w:highlight w:val="lightGray"/>
        </w:rPr>
        <w:t>10.</w:t>
      </w:r>
      <w:r w:rsidRPr="00C21BDD">
        <w:tab/>
        <w:t>Ochranné lhůty</w:t>
      </w:r>
    </w:p>
    <w:p w14:paraId="352D3C6F" w14:textId="77777777" w:rsidR="00C114FF" w:rsidRPr="00C21BDD" w:rsidRDefault="00C114FF" w:rsidP="00A9226B">
      <w:pPr>
        <w:tabs>
          <w:tab w:val="clear" w:pos="567"/>
        </w:tabs>
        <w:spacing w:line="240" w:lineRule="auto"/>
        <w:rPr>
          <w:iCs/>
          <w:szCs w:val="22"/>
        </w:rPr>
      </w:pPr>
    </w:p>
    <w:p w14:paraId="05829A84" w14:textId="6C678160" w:rsidR="00C817DA" w:rsidRPr="00C21BDD" w:rsidRDefault="00C817DA" w:rsidP="00C817DA">
      <w:pPr>
        <w:tabs>
          <w:tab w:val="clear" w:pos="567"/>
        </w:tabs>
        <w:spacing w:line="240" w:lineRule="auto"/>
        <w:rPr>
          <w:szCs w:val="22"/>
        </w:rPr>
      </w:pPr>
      <w:r w:rsidRPr="00C21BDD">
        <w:rPr>
          <w:szCs w:val="22"/>
        </w:rPr>
        <w:t xml:space="preserve">Je třeba učinit patřičná opatření, aby těla a vedlejší živočišné produkty utracených zvířat, kterým byl podán tento </w:t>
      </w:r>
      <w:r w:rsidR="006E3C32">
        <w:rPr>
          <w:szCs w:val="22"/>
        </w:rPr>
        <w:t xml:space="preserve">veterinární léčivý </w:t>
      </w:r>
      <w:r w:rsidRPr="00C21BDD">
        <w:rPr>
          <w:szCs w:val="22"/>
        </w:rPr>
        <w:t>přípravek, nevstoupily do potravinového řetězce a nebyly použity k lidské spotřebě nebo ke krmným účelům u zvířat.</w:t>
      </w:r>
    </w:p>
    <w:p w14:paraId="237445D8" w14:textId="77777777" w:rsidR="00DB468A" w:rsidRPr="00C21BDD" w:rsidRDefault="00DB468A" w:rsidP="00A9226B">
      <w:pPr>
        <w:tabs>
          <w:tab w:val="clear" w:pos="567"/>
        </w:tabs>
        <w:spacing w:line="240" w:lineRule="auto"/>
        <w:rPr>
          <w:iCs/>
          <w:szCs w:val="22"/>
        </w:rPr>
      </w:pPr>
    </w:p>
    <w:p w14:paraId="583C93E1" w14:textId="77777777" w:rsidR="00C817DA" w:rsidRPr="00C21BDD" w:rsidRDefault="00C817DA" w:rsidP="00A9226B">
      <w:pPr>
        <w:tabs>
          <w:tab w:val="clear" w:pos="567"/>
        </w:tabs>
        <w:spacing w:line="240" w:lineRule="auto"/>
        <w:rPr>
          <w:iCs/>
          <w:szCs w:val="22"/>
        </w:rPr>
      </w:pPr>
    </w:p>
    <w:p w14:paraId="3EA828F0" w14:textId="77777777" w:rsidR="00C114FF" w:rsidRPr="00C21BDD" w:rsidRDefault="00C605FD" w:rsidP="00B13B6D">
      <w:pPr>
        <w:pStyle w:val="Style1"/>
      </w:pPr>
      <w:r w:rsidRPr="00C21BDD">
        <w:rPr>
          <w:highlight w:val="lightGray"/>
        </w:rPr>
        <w:t>11.</w:t>
      </w:r>
      <w:r w:rsidRPr="00C21BDD">
        <w:tab/>
        <w:t>Zvláštní opatření pro uchovávání</w:t>
      </w:r>
    </w:p>
    <w:p w14:paraId="5437653D" w14:textId="77777777" w:rsidR="00C114FF" w:rsidRPr="00C21BDD" w:rsidRDefault="00C114FF" w:rsidP="00A9226B">
      <w:pPr>
        <w:numPr>
          <w:ilvl w:val="12"/>
          <w:numId w:val="0"/>
        </w:numPr>
        <w:tabs>
          <w:tab w:val="clear" w:pos="567"/>
        </w:tabs>
        <w:spacing w:line="240" w:lineRule="auto"/>
        <w:rPr>
          <w:szCs w:val="22"/>
        </w:rPr>
      </w:pPr>
    </w:p>
    <w:p w14:paraId="0A770918" w14:textId="6A16CB16" w:rsidR="00C817DA" w:rsidRPr="00C21BDD" w:rsidRDefault="006E3C32" w:rsidP="00C817DA">
      <w:pPr>
        <w:numPr>
          <w:ilvl w:val="12"/>
          <w:numId w:val="0"/>
        </w:numPr>
        <w:tabs>
          <w:tab w:val="clear" w:pos="567"/>
        </w:tabs>
        <w:spacing w:line="240" w:lineRule="auto"/>
        <w:rPr>
          <w:szCs w:val="22"/>
        </w:rPr>
      </w:pPr>
      <w:r>
        <w:rPr>
          <w:szCs w:val="22"/>
        </w:rPr>
        <w:t>Uchovávejte</w:t>
      </w:r>
      <w:r w:rsidRPr="00C21BDD">
        <w:rPr>
          <w:szCs w:val="22"/>
        </w:rPr>
        <w:t xml:space="preserve"> </w:t>
      </w:r>
      <w:r w:rsidR="00C817DA" w:rsidRPr="00C21BDD">
        <w:rPr>
          <w:szCs w:val="22"/>
        </w:rPr>
        <w:t>mimo dohled a dosah dětí.</w:t>
      </w:r>
    </w:p>
    <w:p w14:paraId="6F2911F8" w14:textId="77777777" w:rsidR="00C817DA" w:rsidRPr="00C21BDD" w:rsidRDefault="00C817DA" w:rsidP="00C817DA">
      <w:pPr>
        <w:pStyle w:val="BODY"/>
        <w:spacing w:after="0"/>
        <w:rPr>
          <w:szCs w:val="22"/>
          <w:lang w:val="cs-CZ"/>
        </w:rPr>
      </w:pPr>
    </w:p>
    <w:p w14:paraId="13A48B81" w14:textId="428E7B9D" w:rsidR="00C817DA" w:rsidRPr="00C21BDD" w:rsidRDefault="00C817DA" w:rsidP="00C817DA">
      <w:pPr>
        <w:pStyle w:val="BODY"/>
        <w:spacing w:after="0"/>
        <w:rPr>
          <w:szCs w:val="22"/>
          <w:lang w:val="cs-CZ"/>
        </w:rPr>
      </w:pPr>
      <w:r w:rsidRPr="00C21BDD">
        <w:rPr>
          <w:szCs w:val="22"/>
          <w:lang w:val="cs-CZ"/>
        </w:rPr>
        <w:t>Tento veterinární léčivý přípravek nevyžaduje žádné zvláštní podmínky uchovávání.</w:t>
      </w:r>
    </w:p>
    <w:p w14:paraId="2A8886AB" w14:textId="6F23794F" w:rsidR="00C817DA" w:rsidRPr="00C21BDD" w:rsidRDefault="00C817DA" w:rsidP="00C817DA">
      <w:pPr>
        <w:pStyle w:val="BODY"/>
        <w:spacing w:after="0"/>
        <w:rPr>
          <w:szCs w:val="22"/>
          <w:lang w:val="cs-CZ"/>
        </w:rPr>
      </w:pPr>
      <w:r w:rsidRPr="00C21BDD">
        <w:rPr>
          <w:szCs w:val="22"/>
          <w:lang w:val="cs-CZ"/>
        </w:rPr>
        <w:t>Nepoužívejte tento veterinární léčivý přípravek po uplynutí doby použitelnosti uvedené na krabičce a </w:t>
      </w:r>
      <w:r w:rsidR="00965449">
        <w:rPr>
          <w:szCs w:val="22"/>
          <w:lang w:val="cs-CZ"/>
        </w:rPr>
        <w:t>etiketě</w:t>
      </w:r>
      <w:r w:rsidR="00965449" w:rsidRPr="00C21BDD">
        <w:rPr>
          <w:szCs w:val="22"/>
          <w:lang w:val="cs-CZ"/>
        </w:rPr>
        <w:t xml:space="preserve"> </w:t>
      </w:r>
      <w:r w:rsidRPr="00C21BDD">
        <w:rPr>
          <w:szCs w:val="22"/>
          <w:lang w:val="cs-CZ"/>
        </w:rPr>
        <w:t xml:space="preserve">po </w:t>
      </w:r>
      <w:r w:rsidR="006E3C32">
        <w:rPr>
          <w:szCs w:val="22"/>
          <w:lang w:val="cs-CZ"/>
        </w:rPr>
        <w:t>Exp</w:t>
      </w:r>
      <w:r w:rsidRPr="00C21BDD">
        <w:rPr>
          <w:szCs w:val="22"/>
          <w:lang w:val="cs-CZ"/>
        </w:rPr>
        <w:t>. Doba použitelnosti končí posledním dnem v uvedeném měsíci.</w:t>
      </w:r>
    </w:p>
    <w:p w14:paraId="52A30771" w14:textId="77777777" w:rsidR="00C817DA" w:rsidRPr="00C21BDD" w:rsidRDefault="00C817DA" w:rsidP="00C817DA">
      <w:pPr>
        <w:pStyle w:val="BODY"/>
        <w:spacing w:after="0"/>
        <w:rPr>
          <w:szCs w:val="22"/>
          <w:lang w:val="cs-CZ"/>
        </w:rPr>
      </w:pPr>
      <w:r w:rsidRPr="00C21BDD">
        <w:rPr>
          <w:szCs w:val="22"/>
          <w:lang w:val="cs-CZ"/>
        </w:rPr>
        <w:t>Doba použitelnosti po prvním otevření vnitřního obalu: 56 dnů.</w:t>
      </w:r>
    </w:p>
    <w:p w14:paraId="6BF73524" w14:textId="77777777" w:rsidR="0043320A" w:rsidRPr="00C21BDD" w:rsidRDefault="0043320A" w:rsidP="00A9226B">
      <w:pPr>
        <w:tabs>
          <w:tab w:val="clear" w:pos="567"/>
        </w:tabs>
        <w:spacing w:line="240" w:lineRule="auto"/>
        <w:rPr>
          <w:szCs w:val="22"/>
        </w:rPr>
      </w:pPr>
    </w:p>
    <w:p w14:paraId="359DF8D7" w14:textId="77777777" w:rsidR="00C817DA" w:rsidRPr="00C21BDD" w:rsidRDefault="00C817DA" w:rsidP="00A9226B">
      <w:pPr>
        <w:tabs>
          <w:tab w:val="clear" w:pos="567"/>
        </w:tabs>
        <w:spacing w:line="240" w:lineRule="auto"/>
        <w:rPr>
          <w:szCs w:val="22"/>
        </w:rPr>
      </w:pPr>
    </w:p>
    <w:p w14:paraId="05BE9B45" w14:textId="4E33F251" w:rsidR="00C114FF" w:rsidRPr="00C21BDD" w:rsidRDefault="00C605FD" w:rsidP="00986D23">
      <w:pPr>
        <w:pStyle w:val="Style1"/>
        <w:keepNext/>
        <w:jc w:val="both"/>
      </w:pPr>
      <w:r w:rsidRPr="00C21BDD">
        <w:rPr>
          <w:highlight w:val="lightGray"/>
        </w:rPr>
        <w:t>12.</w:t>
      </w:r>
      <w:r w:rsidRPr="00C21BDD">
        <w:tab/>
        <w:t xml:space="preserve">Zvláštní opatření pro </w:t>
      </w:r>
      <w:r w:rsidR="00CF069C" w:rsidRPr="00C21BDD">
        <w:t>likvidaci</w:t>
      </w:r>
    </w:p>
    <w:p w14:paraId="7C575CD6" w14:textId="77777777" w:rsidR="00C114FF" w:rsidRPr="00C21BDD" w:rsidRDefault="00C114FF" w:rsidP="00986D23">
      <w:pPr>
        <w:keepNext/>
        <w:tabs>
          <w:tab w:val="clear" w:pos="567"/>
        </w:tabs>
        <w:spacing w:line="240" w:lineRule="auto"/>
        <w:jc w:val="both"/>
        <w:rPr>
          <w:szCs w:val="22"/>
        </w:rPr>
      </w:pPr>
    </w:p>
    <w:p w14:paraId="4B43CFF7" w14:textId="759063E7" w:rsidR="00965449" w:rsidRPr="00B41D57" w:rsidRDefault="00965449" w:rsidP="00986D23">
      <w:pPr>
        <w:tabs>
          <w:tab w:val="clear" w:pos="567"/>
        </w:tabs>
        <w:spacing w:line="240" w:lineRule="auto"/>
        <w:jc w:val="both"/>
        <w:rPr>
          <w:szCs w:val="22"/>
        </w:rPr>
      </w:pPr>
      <w:r w:rsidRPr="00B41D57">
        <w:t>Léčivé přípravky se nesmí likvidovat prostřednictvím odpadní vody či domovního odpadu.</w:t>
      </w:r>
    </w:p>
    <w:p w14:paraId="038E07CF" w14:textId="77777777" w:rsidR="00965449" w:rsidRPr="00B41D57" w:rsidRDefault="00965449" w:rsidP="00986D23">
      <w:pPr>
        <w:tabs>
          <w:tab w:val="clear" w:pos="567"/>
        </w:tabs>
        <w:spacing w:line="240" w:lineRule="auto"/>
        <w:jc w:val="both"/>
        <w:rPr>
          <w:szCs w:val="22"/>
        </w:rPr>
      </w:pPr>
    </w:p>
    <w:p w14:paraId="635AF6BA" w14:textId="77777777" w:rsidR="00965449" w:rsidRPr="00B41D57" w:rsidRDefault="00965449" w:rsidP="00986D23">
      <w:pPr>
        <w:spacing w:line="240" w:lineRule="auto"/>
        <w:jc w:val="both"/>
        <w:rPr>
          <w:szCs w:val="22"/>
        </w:rPr>
      </w:pPr>
      <w:r w:rsidRPr="00B41D57">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06DB9A21" w14:textId="77777777" w:rsidR="00DB468A" w:rsidRPr="00C21BDD" w:rsidRDefault="00DB468A" w:rsidP="00DB468A">
      <w:pPr>
        <w:tabs>
          <w:tab w:val="clear" w:pos="567"/>
        </w:tabs>
        <w:spacing w:line="240" w:lineRule="auto"/>
        <w:rPr>
          <w:bCs/>
          <w:szCs w:val="22"/>
          <w:highlight w:val="lightGray"/>
        </w:rPr>
      </w:pPr>
    </w:p>
    <w:p w14:paraId="6E605124" w14:textId="77777777" w:rsidR="00C817DA" w:rsidRPr="00C21BDD" w:rsidRDefault="00C817DA" w:rsidP="00DB468A">
      <w:pPr>
        <w:tabs>
          <w:tab w:val="clear" w:pos="567"/>
        </w:tabs>
        <w:spacing w:line="240" w:lineRule="auto"/>
        <w:rPr>
          <w:bCs/>
          <w:szCs w:val="22"/>
          <w:highlight w:val="lightGray"/>
        </w:rPr>
      </w:pPr>
    </w:p>
    <w:p w14:paraId="31B48E2D" w14:textId="77777777" w:rsidR="00DB468A" w:rsidRPr="00C21BDD" w:rsidRDefault="00C605FD" w:rsidP="00B13B6D">
      <w:pPr>
        <w:pStyle w:val="Style1"/>
      </w:pPr>
      <w:r w:rsidRPr="00C21BDD">
        <w:rPr>
          <w:highlight w:val="lightGray"/>
        </w:rPr>
        <w:t>13.</w:t>
      </w:r>
      <w:r w:rsidRPr="00C21BDD">
        <w:tab/>
        <w:t>Klasifikace veterinárních léčivých přípravků</w:t>
      </w:r>
    </w:p>
    <w:p w14:paraId="76BF11F0" w14:textId="77777777" w:rsidR="00C114FF" w:rsidRPr="00C21BDD" w:rsidRDefault="00C114FF" w:rsidP="00A9226B">
      <w:pPr>
        <w:tabs>
          <w:tab w:val="clear" w:pos="567"/>
        </w:tabs>
        <w:spacing w:line="240" w:lineRule="auto"/>
        <w:rPr>
          <w:szCs w:val="22"/>
        </w:rPr>
      </w:pPr>
    </w:p>
    <w:p w14:paraId="62F63BA1" w14:textId="77777777" w:rsidR="005727F0" w:rsidRPr="00C21BDD" w:rsidRDefault="005727F0" w:rsidP="005727F0">
      <w:pPr>
        <w:spacing w:line="240" w:lineRule="auto"/>
        <w:rPr>
          <w:szCs w:val="22"/>
        </w:rPr>
      </w:pPr>
      <w:r w:rsidRPr="00C21BDD">
        <w:rPr>
          <w:szCs w:val="22"/>
        </w:rPr>
        <w:t>Veterinární léčivý přípravek je vydáván pouze na předpis.</w:t>
      </w:r>
    </w:p>
    <w:p w14:paraId="1B2009DE" w14:textId="77777777" w:rsidR="00DB468A" w:rsidRPr="00C21BDD" w:rsidRDefault="00DB468A" w:rsidP="00A9226B">
      <w:pPr>
        <w:tabs>
          <w:tab w:val="clear" w:pos="567"/>
        </w:tabs>
        <w:spacing w:line="240" w:lineRule="auto"/>
        <w:rPr>
          <w:szCs w:val="22"/>
        </w:rPr>
      </w:pPr>
    </w:p>
    <w:p w14:paraId="4E787B97" w14:textId="77777777" w:rsidR="005727F0" w:rsidRPr="00C21BDD" w:rsidRDefault="005727F0" w:rsidP="00A9226B">
      <w:pPr>
        <w:tabs>
          <w:tab w:val="clear" w:pos="567"/>
        </w:tabs>
        <w:spacing w:line="240" w:lineRule="auto"/>
        <w:rPr>
          <w:szCs w:val="22"/>
        </w:rPr>
      </w:pPr>
    </w:p>
    <w:p w14:paraId="37274FDB" w14:textId="77777777" w:rsidR="00DB468A" w:rsidRPr="00C21BDD" w:rsidRDefault="00C605FD" w:rsidP="00B13B6D">
      <w:pPr>
        <w:pStyle w:val="Style1"/>
      </w:pPr>
      <w:r w:rsidRPr="00C21BDD">
        <w:rPr>
          <w:highlight w:val="lightGray"/>
        </w:rPr>
        <w:t>14.</w:t>
      </w:r>
      <w:r w:rsidRPr="00C21BDD">
        <w:tab/>
        <w:t>Registrační čísla a velikosti balení</w:t>
      </w:r>
    </w:p>
    <w:p w14:paraId="7A2F65F6" w14:textId="77777777" w:rsidR="00DB468A" w:rsidRPr="00C21BDD" w:rsidRDefault="00DB468A" w:rsidP="00A9226B">
      <w:pPr>
        <w:tabs>
          <w:tab w:val="clear" w:pos="567"/>
        </w:tabs>
        <w:spacing w:line="240" w:lineRule="auto"/>
        <w:rPr>
          <w:szCs w:val="22"/>
        </w:rPr>
      </w:pPr>
    </w:p>
    <w:p w14:paraId="3F63C82F" w14:textId="39C0312B" w:rsidR="00992D0A" w:rsidRDefault="00965449" w:rsidP="00992D0A">
      <w:pPr>
        <w:rPr>
          <w:szCs w:val="22"/>
        </w:rPr>
      </w:pPr>
      <w:r w:rsidRPr="0037148D">
        <w:rPr>
          <w:szCs w:val="22"/>
        </w:rPr>
        <w:t>Registrační číslo:</w:t>
      </w:r>
      <w:r w:rsidRPr="00965449">
        <w:rPr>
          <w:szCs w:val="22"/>
        </w:rPr>
        <w:t xml:space="preserve"> </w:t>
      </w:r>
      <w:r w:rsidR="00992D0A" w:rsidRPr="00C21BDD">
        <w:rPr>
          <w:szCs w:val="22"/>
        </w:rPr>
        <w:t>96/024/</w:t>
      </w:r>
      <w:proofErr w:type="gramStart"/>
      <w:r w:rsidR="00992D0A" w:rsidRPr="00C21BDD">
        <w:rPr>
          <w:szCs w:val="22"/>
        </w:rPr>
        <w:t>17-C</w:t>
      </w:r>
      <w:proofErr w:type="gramEnd"/>
    </w:p>
    <w:p w14:paraId="1D2B21AE" w14:textId="77777777" w:rsidR="00DC1FEA" w:rsidRPr="00C21BDD" w:rsidRDefault="00DC1FEA" w:rsidP="00992D0A">
      <w:pPr>
        <w:rPr>
          <w:szCs w:val="22"/>
        </w:rPr>
      </w:pPr>
      <w:bookmarkStart w:id="0" w:name="_GoBack"/>
      <w:bookmarkEnd w:id="0"/>
    </w:p>
    <w:p w14:paraId="257EBAB6" w14:textId="77777777" w:rsidR="00C817DA" w:rsidRPr="00C21BDD" w:rsidRDefault="00C817DA" w:rsidP="00C817DA">
      <w:pPr>
        <w:spacing w:line="240" w:lineRule="auto"/>
        <w:rPr>
          <w:color w:val="000000"/>
          <w:szCs w:val="22"/>
        </w:rPr>
      </w:pPr>
      <w:r w:rsidRPr="00C21BDD">
        <w:rPr>
          <w:color w:val="000000"/>
          <w:szCs w:val="22"/>
        </w:rPr>
        <w:t>Velikosti balení: 1 nebo 12 injekčních lahviček po 100 ml, 1 nebo 12 injekčních lahviček po 250 ml.</w:t>
      </w:r>
    </w:p>
    <w:p w14:paraId="09CDB03D" w14:textId="77777777" w:rsidR="00C817DA" w:rsidRPr="00C21BDD" w:rsidRDefault="00C817DA" w:rsidP="00C817DA">
      <w:pPr>
        <w:tabs>
          <w:tab w:val="clear" w:pos="567"/>
        </w:tabs>
        <w:spacing w:line="240" w:lineRule="auto"/>
        <w:rPr>
          <w:szCs w:val="22"/>
        </w:rPr>
      </w:pPr>
      <w:r w:rsidRPr="00C21BDD">
        <w:rPr>
          <w:szCs w:val="22"/>
        </w:rPr>
        <w:t>Na trhu nemusí být všechny velikosti balení.</w:t>
      </w:r>
    </w:p>
    <w:p w14:paraId="1E0A47F2" w14:textId="77777777" w:rsidR="00DB468A" w:rsidRPr="00C21BDD" w:rsidRDefault="00DB468A" w:rsidP="00A9226B">
      <w:pPr>
        <w:tabs>
          <w:tab w:val="clear" w:pos="567"/>
        </w:tabs>
        <w:spacing w:line="240" w:lineRule="auto"/>
        <w:rPr>
          <w:szCs w:val="22"/>
        </w:rPr>
      </w:pPr>
    </w:p>
    <w:p w14:paraId="13062B97" w14:textId="77777777" w:rsidR="00C817DA" w:rsidRPr="00C21BDD" w:rsidRDefault="00C817DA" w:rsidP="00A9226B">
      <w:pPr>
        <w:tabs>
          <w:tab w:val="clear" w:pos="567"/>
        </w:tabs>
        <w:spacing w:line="240" w:lineRule="auto"/>
        <w:rPr>
          <w:szCs w:val="22"/>
        </w:rPr>
      </w:pPr>
    </w:p>
    <w:p w14:paraId="0B76CC22" w14:textId="77777777" w:rsidR="00C114FF" w:rsidRPr="00C21BDD" w:rsidRDefault="00C605FD" w:rsidP="00B13B6D">
      <w:pPr>
        <w:pStyle w:val="Style1"/>
      </w:pPr>
      <w:r w:rsidRPr="00C21BDD">
        <w:rPr>
          <w:highlight w:val="lightGray"/>
        </w:rPr>
        <w:t>15.</w:t>
      </w:r>
      <w:r w:rsidRPr="00C21BDD">
        <w:tab/>
        <w:t>Datum poslední revize příbalové informace</w:t>
      </w:r>
    </w:p>
    <w:p w14:paraId="6781F72F" w14:textId="77777777" w:rsidR="00C114FF" w:rsidRPr="00C21BDD" w:rsidRDefault="00C114FF" w:rsidP="00A9226B">
      <w:pPr>
        <w:tabs>
          <w:tab w:val="clear" w:pos="567"/>
        </w:tabs>
        <w:spacing w:line="240" w:lineRule="auto"/>
        <w:rPr>
          <w:szCs w:val="22"/>
        </w:rPr>
      </w:pPr>
    </w:p>
    <w:p w14:paraId="7B68B23E" w14:textId="6E8F69D8" w:rsidR="002F00C8" w:rsidRDefault="002F00C8" w:rsidP="00C817DA">
      <w:pPr>
        <w:tabs>
          <w:tab w:val="clear" w:pos="567"/>
        </w:tabs>
        <w:spacing w:line="240" w:lineRule="auto"/>
        <w:rPr>
          <w:szCs w:val="22"/>
        </w:rPr>
      </w:pPr>
      <w:r>
        <w:rPr>
          <w:szCs w:val="22"/>
        </w:rPr>
        <w:t>03/2025</w:t>
      </w:r>
    </w:p>
    <w:p w14:paraId="0EDC6FF8" w14:textId="77777777" w:rsidR="00DC1FEA" w:rsidRPr="00C21BDD" w:rsidRDefault="00DC1FEA" w:rsidP="00C817DA">
      <w:pPr>
        <w:tabs>
          <w:tab w:val="clear" w:pos="567"/>
        </w:tabs>
        <w:spacing w:line="240" w:lineRule="auto"/>
        <w:rPr>
          <w:szCs w:val="22"/>
        </w:rPr>
      </w:pPr>
    </w:p>
    <w:p w14:paraId="4577AC7E" w14:textId="48122485" w:rsidR="00965449" w:rsidRDefault="00965449" w:rsidP="00965449">
      <w:pPr>
        <w:tabs>
          <w:tab w:val="clear" w:pos="567"/>
        </w:tabs>
        <w:spacing w:line="240" w:lineRule="auto"/>
        <w:rPr>
          <w:szCs w:val="22"/>
        </w:rPr>
      </w:pPr>
      <w:r w:rsidRPr="00B41D57">
        <w:t>Podrobné informace o tomto veterinárním léčivém přípravku jsou k dispozici v databázi přípravků Unie</w:t>
      </w:r>
      <w:r>
        <w:t xml:space="preserve"> </w:t>
      </w:r>
      <w:r>
        <w:rPr>
          <w:szCs w:val="22"/>
        </w:rPr>
        <w:t>(</w:t>
      </w:r>
      <w:hyperlink r:id="rId10" w:history="1">
        <w:r w:rsidRPr="001D6052">
          <w:rPr>
            <w:rStyle w:val="Hypertextovodkaz"/>
            <w:szCs w:val="22"/>
          </w:rPr>
          <w:t>https://medicines.health.europa.eu/veterinary</w:t>
        </w:r>
      </w:hyperlink>
      <w:r>
        <w:rPr>
          <w:szCs w:val="22"/>
        </w:rPr>
        <w:t>)</w:t>
      </w:r>
      <w:r w:rsidRPr="004620A4">
        <w:rPr>
          <w:szCs w:val="22"/>
        </w:rPr>
        <w:t>.</w:t>
      </w:r>
    </w:p>
    <w:p w14:paraId="7B0FED03" w14:textId="2D047F1B" w:rsidR="002F00C8" w:rsidRDefault="002F00C8" w:rsidP="00965449">
      <w:pPr>
        <w:tabs>
          <w:tab w:val="clear" w:pos="567"/>
        </w:tabs>
        <w:spacing w:line="240" w:lineRule="auto"/>
        <w:rPr>
          <w:szCs w:val="22"/>
        </w:rPr>
      </w:pPr>
    </w:p>
    <w:p w14:paraId="5C8925E0" w14:textId="77777777" w:rsidR="002F00C8" w:rsidRPr="00DC1FEA" w:rsidRDefault="002F00C8" w:rsidP="002F00C8">
      <w:pPr>
        <w:spacing w:line="240" w:lineRule="auto"/>
        <w:jc w:val="both"/>
      </w:pPr>
      <w:bookmarkStart w:id="1" w:name="_Hlk148433929"/>
      <w:r w:rsidRPr="00DC1FEA">
        <w:t>Podrobné informace o tomto veterinárním léčivém přípravku naleznete také v národní databázi (</w:t>
      </w:r>
      <w:hyperlink r:id="rId11" w:history="1">
        <w:r w:rsidRPr="00DC1FEA">
          <w:rPr>
            <w:rStyle w:val="Hypertextovodkaz"/>
          </w:rPr>
          <w:t>https://www.uskvbl.cz</w:t>
        </w:r>
      </w:hyperlink>
      <w:r w:rsidRPr="00DC1FEA">
        <w:t>).</w:t>
      </w:r>
    </w:p>
    <w:bookmarkEnd w:id="1"/>
    <w:p w14:paraId="5C8B244C" w14:textId="78BAFEB6" w:rsidR="00965449" w:rsidRPr="00C21BDD" w:rsidRDefault="00965449" w:rsidP="00A9226B">
      <w:pPr>
        <w:tabs>
          <w:tab w:val="clear" w:pos="567"/>
        </w:tabs>
        <w:spacing w:line="240" w:lineRule="auto"/>
        <w:rPr>
          <w:szCs w:val="22"/>
        </w:rPr>
      </w:pPr>
    </w:p>
    <w:p w14:paraId="370EF87C" w14:textId="77777777" w:rsidR="00C817DA" w:rsidRPr="00C21BDD" w:rsidRDefault="00C817DA" w:rsidP="00A9226B">
      <w:pPr>
        <w:tabs>
          <w:tab w:val="clear" w:pos="567"/>
        </w:tabs>
        <w:spacing w:line="240" w:lineRule="auto"/>
        <w:rPr>
          <w:szCs w:val="22"/>
        </w:rPr>
      </w:pPr>
    </w:p>
    <w:p w14:paraId="54C9272A" w14:textId="77777777" w:rsidR="00DB468A" w:rsidRPr="00C21BDD" w:rsidRDefault="00C605FD" w:rsidP="00B13B6D">
      <w:pPr>
        <w:pStyle w:val="Style1"/>
      </w:pPr>
      <w:r w:rsidRPr="00C21BDD">
        <w:rPr>
          <w:highlight w:val="lightGray"/>
        </w:rPr>
        <w:t>16.</w:t>
      </w:r>
      <w:r w:rsidRPr="00C21BDD">
        <w:tab/>
        <w:t>Kontaktní údaje</w:t>
      </w:r>
    </w:p>
    <w:p w14:paraId="43F06BBF" w14:textId="77777777" w:rsidR="00C114FF" w:rsidRPr="00C21BDD" w:rsidRDefault="00C114FF" w:rsidP="00A9226B">
      <w:pPr>
        <w:tabs>
          <w:tab w:val="clear" w:pos="567"/>
        </w:tabs>
        <w:spacing w:line="240" w:lineRule="auto"/>
        <w:rPr>
          <w:szCs w:val="22"/>
        </w:rPr>
      </w:pPr>
    </w:p>
    <w:p w14:paraId="79625108" w14:textId="410036FB" w:rsidR="00DB468A" w:rsidRPr="00C21BDD" w:rsidRDefault="00C605FD" w:rsidP="00DB468A">
      <w:pPr>
        <w:rPr>
          <w:iCs/>
          <w:szCs w:val="22"/>
        </w:rPr>
      </w:pPr>
      <w:bookmarkStart w:id="2" w:name="_Hlk73552578"/>
      <w:r w:rsidRPr="00C21BDD">
        <w:rPr>
          <w:iCs/>
          <w:szCs w:val="22"/>
          <w:u w:val="single"/>
        </w:rPr>
        <w:t>Držitel rozhodnutí o registraci a kontaktní údaje pro hlášení podezření na nežádoucí účinky</w:t>
      </w:r>
      <w:r w:rsidRPr="00C21BDD">
        <w:t>:</w:t>
      </w:r>
    </w:p>
    <w:bookmarkEnd w:id="2"/>
    <w:p w14:paraId="792B0099" w14:textId="265C9ABB" w:rsidR="00C817DA" w:rsidRPr="00C21BDD" w:rsidRDefault="00C817DA" w:rsidP="00C817DA">
      <w:pPr>
        <w:tabs>
          <w:tab w:val="clear" w:pos="567"/>
        </w:tabs>
        <w:spacing w:line="240" w:lineRule="auto"/>
        <w:rPr>
          <w:iCs/>
          <w:szCs w:val="22"/>
        </w:rPr>
      </w:pPr>
      <w:r w:rsidRPr="00C21BDD">
        <w:rPr>
          <w:szCs w:val="22"/>
        </w:rPr>
        <w:t>Le Vet</w:t>
      </w:r>
      <w:r w:rsidR="006955EF">
        <w:rPr>
          <w:szCs w:val="22"/>
        </w:rPr>
        <w:t>.</w:t>
      </w:r>
      <w:r w:rsidRPr="00C21BDD">
        <w:rPr>
          <w:szCs w:val="22"/>
        </w:rPr>
        <w:t xml:space="preserve"> Beheer B.V.</w:t>
      </w:r>
    </w:p>
    <w:p w14:paraId="01C2DA62" w14:textId="6981F9BE" w:rsidR="00C817DA" w:rsidRPr="00C21BDD" w:rsidRDefault="00C817DA" w:rsidP="00C817DA">
      <w:pPr>
        <w:tabs>
          <w:tab w:val="clear" w:pos="567"/>
        </w:tabs>
        <w:spacing w:line="240" w:lineRule="auto"/>
        <w:rPr>
          <w:iCs/>
          <w:szCs w:val="22"/>
        </w:rPr>
      </w:pPr>
      <w:r w:rsidRPr="00C21BDD">
        <w:rPr>
          <w:szCs w:val="22"/>
        </w:rPr>
        <w:lastRenderedPageBreak/>
        <w:t>Wilgenweg 7</w:t>
      </w:r>
    </w:p>
    <w:p w14:paraId="2B408B30" w14:textId="34377628" w:rsidR="00C817DA" w:rsidRPr="00C21BDD" w:rsidRDefault="00C817DA" w:rsidP="00C817DA">
      <w:pPr>
        <w:tabs>
          <w:tab w:val="clear" w:pos="567"/>
        </w:tabs>
        <w:spacing w:line="240" w:lineRule="auto"/>
        <w:rPr>
          <w:iCs/>
          <w:szCs w:val="22"/>
        </w:rPr>
      </w:pPr>
      <w:r w:rsidRPr="00C21BDD">
        <w:rPr>
          <w:szCs w:val="22"/>
        </w:rPr>
        <w:t>3421 TV Oudewater</w:t>
      </w:r>
    </w:p>
    <w:p w14:paraId="66288302" w14:textId="37C176CA" w:rsidR="00C817DA" w:rsidRPr="00C21BDD" w:rsidRDefault="00C817DA" w:rsidP="00C817DA">
      <w:pPr>
        <w:tabs>
          <w:tab w:val="clear" w:pos="567"/>
        </w:tabs>
        <w:spacing w:line="240" w:lineRule="auto"/>
        <w:rPr>
          <w:iCs/>
          <w:szCs w:val="22"/>
        </w:rPr>
      </w:pPr>
      <w:r w:rsidRPr="00C21BDD">
        <w:rPr>
          <w:szCs w:val="22"/>
        </w:rPr>
        <w:t>Nizozemsko</w:t>
      </w:r>
    </w:p>
    <w:p w14:paraId="6D7609EE" w14:textId="77777777" w:rsidR="006955EF" w:rsidRPr="006A1AE4" w:rsidRDefault="006955EF" w:rsidP="006955EF">
      <w:pPr>
        <w:tabs>
          <w:tab w:val="clear" w:pos="567"/>
          <w:tab w:val="left" w:pos="708"/>
        </w:tabs>
        <w:spacing w:line="240" w:lineRule="auto"/>
        <w:rPr>
          <w:iCs/>
          <w:szCs w:val="22"/>
        </w:rPr>
      </w:pPr>
      <w:r w:rsidRPr="00597350">
        <w:rPr>
          <w:iCs/>
          <w:szCs w:val="22"/>
          <w:lang w:val="nl-NL"/>
        </w:rPr>
        <w:t>+31 348 563 434</w:t>
      </w:r>
      <w:r w:rsidRPr="00597350">
        <w:rPr>
          <w:iCs/>
          <w:szCs w:val="22"/>
        </w:rPr>
        <w:t> </w:t>
      </w:r>
    </w:p>
    <w:p w14:paraId="4BCB8728" w14:textId="77777777" w:rsidR="00DB468A" w:rsidRPr="00C21BDD" w:rsidRDefault="00DB468A" w:rsidP="00A9226B">
      <w:pPr>
        <w:tabs>
          <w:tab w:val="clear" w:pos="567"/>
        </w:tabs>
        <w:spacing w:line="240" w:lineRule="auto"/>
        <w:rPr>
          <w:szCs w:val="22"/>
        </w:rPr>
      </w:pPr>
    </w:p>
    <w:p w14:paraId="5A0CEF0F" w14:textId="16B6D6C8" w:rsidR="003841FC" w:rsidRPr="00C21BDD" w:rsidRDefault="00C605FD" w:rsidP="003841FC">
      <w:pPr>
        <w:rPr>
          <w:bCs/>
          <w:szCs w:val="22"/>
        </w:rPr>
      </w:pPr>
      <w:r w:rsidRPr="00C21BDD">
        <w:rPr>
          <w:bCs/>
          <w:szCs w:val="22"/>
          <w:u w:val="single"/>
        </w:rPr>
        <w:t xml:space="preserve">Výrobce odpovědný za </w:t>
      </w:r>
      <w:r w:rsidR="00FD642D" w:rsidRPr="00C21BDD">
        <w:rPr>
          <w:bCs/>
          <w:szCs w:val="22"/>
          <w:u w:val="single"/>
        </w:rPr>
        <w:t xml:space="preserve">uvolnění </w:t>
      </w:r>
      <w:r w:rsidRPr="00C21BDD">
        <w:rPr>
          <w:bCs/>
          <w:szCs w:val="22"/>
          <w:u w:val="single"/>
        </w:rPr>
        <w:t>šarž</w:t>
      </w:r>
      <w:r w:rsidR="00FD642D" w:rsidRPr="00C21BDD">
        <w:rPr>
          <w:bCs/>
          <w:szCs w:val="22"/>
          <w:u w:val="single"/>
        </w:rPr>
        <w:t>e</w:t>
      </w:r>
      <w:r w:rsidRPr="00C21BDD">
        <w:t>:</w:t>
      </w:r>
    </w:p>
    <w:p w14:paraId="1EADFC4F" w14:textId="77777777" w:rsidR="00C817DA" w:rsidRPr="00C21BDD" w:rsidRDefault="00C817DA" w:rsidP="00C817DA">
      <w:pPr>
        <w:tabs>
          <w:tab w:val="clear" w:pos="567"/>
        </w:tabs>
        <w:spacing w:line="240" w:lineRule="auto"/>
        <w:rPr>
          <w:bCs/>
          <w:szCs w:val="22"/>
        </w:rPr>
      </w:pPr>
      <w:r w:rsidRPr="00C21BDD">
        <w:rPr>
          <w:szCs w:val="22"/>
        </w:rPr>
        <w:t>Produlab Pharma B.V.</w:t>
      </w:r>
    </w:p>
    <w:p w14:paraId="13B534AC" w14:textId="77777777" w:rsidR="00C817DA" w:rsidRPr="00C21BDD" w:rsidRDefault="00C817DA" w:rsidP="00C817DA">
      <w:pPr>
        <w:tabs>
          <w:tab w:val="clear" w:pos="567"/>
        </w:tabs>
        <w:spacing w:line="240" w:lineRule="auto"/>
        <w:rPr>
          <w:bCs/>
          <w:szCs w:val="22"/>
        </w:rPr>
      </w:pPr>
      <w:r w:rsidRPr="00C21BDD">
        <w:rPr>
          <w:szCs w:val="22"/>
        </w:rPr>
        <w:t>Forellenweg 16</w:t>
      </w:r>
    </w:p>
    <w:p w14:paraId="29B27963" w14:textId="77777777" w:rsidR="00C817DA" w:rsidRPr="00C21BDD" w:rsidRDefault="00C817DA" w:rsidP="00C817DA">
      <w:pPr>
        <w:tabs>
          <w:tab w:val="clear" w:pos="567"/>
        </w:tabs>
        <w:spacing w:line="240" w:lineRule="auto"/>
        <w:rPr>
          <w:bCs/>
          <w:szCs w:val="22"/>
        </w:rPr>
      </w:pPr>
      <w:r w:rsidRPr="00C21BDD">
        <w:rPr>
          <w:szCs w:val="22"/>
        </w:rPr>
        <w:t>4941 SJ Raamsdonksveer</w:t>
      </w:r>
    </w:p>
    <w:p w14:paraId="3EE788B5" w14:textId="77777777" w:rsidR="00C817DA" w:rsidRPr="00C21BDD" w:rsidRDefault="00C817DA" w:rsidP="00C817DA">
      <w:pPr>
        <w:tabs>
          <w:tab w:val="clear" w:pos="567"/>
        </w:tabs>
        <w:spacing w:line="240" w:lineRule="auto"/>
        <w:rPr>
          <w:bCs/>
          <w:szCs w:val="22"/>
          <w:u w:val="single"/>
        </w:rPr>
      </w:pPr>
      <w:r w:rsidRPr="00C21BDD">
        <w:rPr>
          <w:szCs w:val="22"/>
        </w:rPr>
        <w:t>Nizozemsko</w:t>
      </w:r>
    </w:p>
    <w:p w14:paraId="3D3BF102" w14:textId="77777777" w:rsidR="003841FC" w:rsidRPr="00C21BDD" w:rsidRDefault="003841FC" w:rsidP="003841FC">
      <w:pPr>
        <w:rPr>
          <w:bCs/>
          <w:szCs w:val="22"/>
        </w:rPr>
      </w:pPr>
    </w:p>
    <w:p w14:paraId="490B5A3D" w14:textId="77777777" w:rsidR="00965449" w:rsidRPr="00C21BDD" w:rsidRDefault="00965449" w:rsidP="00A9226B">
      <w:pPr>
        <w:tabs>
          <w:tab w:val="clear" w:pos="567"/>
        </w:tabs>
        <w:spacing w:line="240" w:lineRule="auto"/>
        <w:rPr>
          <w:szCs w:val="22"/>
        </w:rPr>
      </w:pPr>
    </w:p>
    <w:p w14:paraId="38610B62" w14:textId="33D69413" w:rsidR="006955EF" w:rsidRDefault="00C605FD" w:rsidP="006955EF">
      <w:pPr>
        <w:rPr>
          <w:szCs w:val="22"/>
        </w:rPr>
      </w:pPr>
      <w:r w:rsidRPr="00C21BDD">
        <w:rPr>
          <w:highlight w:val="lightGray"/>
        </w:rPr>
        <w:t>17.</w:t>
      </w:r>
      <w:r w:rsidRPr="00C21BDD">
        <w:tab/>
        <w:t>Další informace</w:t>
      </w:r>
    </w:p>
    <w:p w14:paraId="43C70007" w14:textId="3B761AE1" w:rsidR="006955EF" w:rsidRDefault="002F00C8" w:rsidP="006955EF">
      <w:pPr>
        <w:ind w:right="-318"/>
        <w:rPr>
          <w:szCs w:val="22"/>
        </w:rPr>
      </w:pPr>
      <w:r w:rsidRPr="00DC1FEA">
        <w:rPr>
          <w:bCs/>
          <w:highlight w:val="lightGray"/>
        </w:rPr>
        <w:t>Další požadavky na právní status pro označování</w:t>
      </w:r>
      <w:r w:rsidRPr="00187B82" w:rsidDel="006955EF">
        <w:rPr>
          <w:szCs w:val="22"/>
        </w:rPr>
        <w:t xml:space="preserve"> </w:t>
      </w:r>
    </w:p>
    <w:p w14:paraId="636267E8" w14:textId="29F36849" w:rsidR="006955EF" w:rsidRPr="00FA5FA8" w:rsidRDefault="006955EF" w:rsidP="006955EF">
      <w:pPr>
        <w:ind w:right="566"/>
        <w:rPr>
          <w:color w:val="000000"/>
          <w:szCs w:val="22"/>
        </w:rPr>
      </w:pPr>
      <w:r w:rsidRPr="0084193B">
        <w:rPr>
          <w:szCs w:val="22"/>
        </w:rPr>
        <w:t xml:space="preserve">Přípravek obsahuje návykové látky. </w:t>
      </w:r>
    </w:p>
    <w:p w14:paraId="72BBFD3F" w14:textId="78EDAEF4" w:rsidR="005F346D" w:rsidRPr="00C21BDD" w:rsidRDefault="006955EF" w:rsidP="00A127A9">
      <w:pPr>
        <w:pStyle w:val="Style1"/>
      </w:pPr>
      <w:r>
        <w:rPr>
          <w:noProof/>
        </w:rPr>
        <w:drawing>
          <wp:anchor distT="0" distB="0" distL="114300" distR="114300" simplePos="0" relativeHeight="251661312" behindDoc="0" locked="0" layoutInCell="1" allowOverlap="1" wp14:anchorId="515DD0BC" wp14:editId="171D8D26">
            <wp:simplePos x="0" y="0"/>
            <wp:positionH relativeFrom="margin">
              <wp:posOffset>0</wp:posOffset>
            </wp:positionH>
            <wp:positionV relativeFrom="paragraph">
              <wp:posOffset>159385</wp:posOffset>
            </wp:positionV>
            <wp:extent cx="497205" cy="299720"/>
            <wp:effectExtent l="0" t="0" r="0" b="5080"/>
            <wp:wrapSquare wrapText="bothSides"/>
            <wp:docPr id="1745931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7205" cy="299720"/>
                    </a:xfrm>
                    <a:prstGeom prst="rect">
                      <a:avLst/>
                    </a:prstGeom>
                    <a:noFill/>
                  </pic:spPr>
                </pic:pic>
              </a:graphicData>
            </a:graphic>
            <wp14:sizeRelH relativeFrom="page">
              <wp14:pctWidth>0</wp14:pctWidth>
            </wp14:sizeRelH>
            <wp14:sizeRelV relativeFrom="page">
              <wp14:pctHeight>0</wp14:pctHeight>
            </wp14:sizeRelV>
          </wp:anchor>
        </w:drawing>
      </w:r>
    </w:p>
    <w:sectPr w:rsidR="005F346D" w:rsidRPr="00C21BDD" w:rsidSect="003837F1">
      <w:headerReference w:type="default" r:id="rId13"/>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68052" w14:textId="77777777" w:rsidR="008D2270" w:rsidRDefault="008D2270">
      <w:pPr>
        <w:spacing w:line="240" w:lineRule="auto"/>
      </w:pPr>
      <w:r>
        <w:separator/>
      </w:r>
    </w:p>
  </w:endnote>
  <w:endnote w:type="continuationSeparator" w:id="0">
    <w:p w14:paraId="6FE7187E" w14:textId="77777777" w:rsidR="008D2270" w:rsidRDefault="008D2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C94C4" w14:textId="77777777" w:rsidR="008D2270" w:rsidRDefault="008D2270">
      <w:pPr>
        <w:spacing w:line="240" w:lineRule="auto"/>
      </w:pPr>
      <w:r>
        <w:separator/>
      </w:r>
    </w:p>
  </w:footnote>
  <w:footnote w:type="continuationSeparator" w:id="0">
    <w:p w14:paraId="5C7F906E" w14:textId="77777777" w:rsidR="008D2270" w:rsidRDefault="008D22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D287E" w14:textId="77777777" w:rsidR="00EC0F75" w:rsidRPr="00EC0F75" w:rsidRDefault="00EC0F75" w:rsidP="00EC0F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2268"/>
    <w:rsid w:val="000349AA"/>
    <w:rsid w:val="00036C50"/>
    <w:rsid w:val="00052D2B"/>
    <w:rsid w:val="00054F55"/>
    <w:rsid w:val="00056EE7"/>
    <w:rsid w:val="00062945"/>
    <w:rsid w:val="00063946"/>
    <w:rsid w:val="00080453"/>
    <w:rsid w:val="0008169A"/>
    <w:rsid w:val="00082200"/>
    <w:rsid w:val="000838BB"/>
    <w:rsid w:val="000860CE"/>
    <w:rsid w:val="00092A37"/>
    <w:rsid w:val="000938A6"/>
    <w:rsid w:val="00096E78"/>
    <w:rsid w:val="00097152"/>
    <w:rsid w:val="00097C1E"/>
    <w:rsid w:val="000A1DF5"/>
    <w:rsid w:val="000B7873"/>
    <w:rsid w:val="000C02A1"/>
    <w:rsid w:val="000C1D4F"/>
    <w:rsid w:val="000C2F22"/>
    <w:rsid w:val="000C3ED7"/>
    <w:rsid w:val="000C55E6"/>
    <w:rsid w:val="000C687A"/>
    <w:rsid w:val="000D67D0"/>
    <w:rsid w:val="000E115E"/>
    <w:rsid w:val="000E195C"/>
    <w:rsid w:val="000E3602"/>
    <w:rsid w:val="000E6D68"/>
    <w:rsid w:val="000E705A"/>
    <w:rsid w:val="000F38DA"/>
    <w:rsid w:val="000F5822"/>
    <w:rsid w:val="000F796B"/>
    <w:rsid w:val="0010031E"/>
    <w:rsid w:val="001012EB"/>
    <w:rsid w:val="00102F3C"/>
    <w:rsid w:val="00103550"/>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74D3"/>
    <w:rsid w:val="00173FC3"/>
    <w:rsid w:val="00174721"/>
    <w:rsid w:val="00175264"/>
    <w:rsid w:val="001803D2"/>
    <w:rsid w:val="0018228B"/>
    <w:rsid w:val="001846B7"/>
    <w:rsid w:val="00185B50"/>
    <w:rsid w:val="0018625C"/>
    <w:rsid w:val="0018657D"/>
    <w:rsid w:val="00187A5D"/>
    <w:rsid w:val="00187DE7"/>
    <w:rsid w:val="00187E62"/>
    <w:rsid w:val="00192045"/>
    <w:rsid w:val="00192D98"/>
    <w:rsid w:val="00193B14"/>
    <w:rsid w:val="00193E72"/>
    <w:rsid w:val="001940FB"/>
    <w:rsid w:val="00195267"/>
    <w:rsid w:val="0019600B"/>
    <w:rsid w:val="0019686E"/>
    <w:rsid w:val="001A0B4A"/>
    <w:rsid w:val="001A0E2C"/>
    <w:rsid w:val="001A1238"/>
    <w:rsid w:val="001A28C9"/>
    <w:rsid w:val="001A34BC"/>
    <w:rsid w:val="001A621E"/>
    <w:rsid w:val="001B1C77"/>
    <w:rsid w:val="001B26EB"/>
    <w:rsid w:val="001B4FFF"/>
    <w:rsid w:val="001B6F4A"/>
    <w:rsid w:val="001B7B38"/>
    <w:rsid w:val="001C4059"/>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1374"/>
    <w:rsid w:val="00213890"/>
    <w:rsid w:val="00214E52"/>
    <w:rsid w:val="002207C0"/>
    <w:rsid w:val="0022380D"/>
    <w:rsid w:val="00224B93"/>
    <w:rsid w:val="00226630"/>
    <w:rsid w:val="0023676E"/>
    <w:rsid w:val="002414B6"/>
    <w:rsid w:val="002422EB"/>
    <w:rsid w:val="00242397"/>
    <w:rsid w:val="002436E8"/>
    <w:rsid w:val="002446DC"/>
    <w:rsid w:val="00245ECD"/>
    <w:rsid w:val="00246A02"/>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9784A"/>
    <w:rsid w:val="002A0E7C"/>
    <w:rsid w:val="002A0EED"/>
    <w:rsid w:val="002A21ED"/>
    <w:rsid w:val="002A3F88"/>
    <w:rsid w:val="002A710D"/>
    <w:rsid w:val="002B0F11"/>
    <w:rsid w:val="002B2E17"/>
    <w:rsid w:val="002B6560"/>
    <w:rsid w:val="002B6599"/>
    <w:rsid w:val="002C1F27"/>
    <w:rsid w:val="002C55FF"/>
    <w:rsid w:val="002C592B"/>
    <w:rsid w:val="002C7943"/>
    <w:rsid w:val="002D300D"/>
    <w:rsid w:val="002E0CD4"/>
    <w:rsid w:val="002E3A90"/>
    <w:rsid w:val="002E46CC"/>
    <w:rsid w:val="002E4F48"/>
    <w:rsid w:val="002E62CB"/>
    <w:rsid w:val="002E6DF1"/>
    <w:rsid w:val="002E6ED9"/>
    <w:rsid w:val="002E7C49"/>
    <w:rsid w:val="002F00C8"/>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260F"/>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148D"/>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2865"/>
    <w:rsid w:val="003C33FF"/>
    <w:rsid w:val="003C3E0E"/>
    <w:rsid w:val="003C64A5"/>
    <w:rsid w:val="003D03CC"/>
    <w:rsid w:val="003D378C"/>
    <w:rsid w:val="003D3893"/>
    <w:rsid w:val="003D4BB7"/>
    <w:rsid w:val="003E0116"/>
    <w:rsid w:val="003E10EE"/>
    <w:rsid w:val="003E26C3"/>
    <w:rsid w:val="003E6225"/>
    <w:rsid w:val="003E6F05"/>
    <w:rsid w:val="003F0BC8"/>
    <w:rsid w:val="003F0D6C"/>
    <w:rsid w:val="003F0F26"/>
    <w:rsid w:val="003F12D9"/>
    <w:rsid w:val="003F1B4C"/>
    <w:rsid w:val="003F3CE6"/>
    <w:rsid w:val="003F677F"/>
    <w:rsid w:val="004008F6"/>
    <w:rsid w:val="00404438"/>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77FE6"/>
    <w:rsid w:val="00486006"/>
    <w:rsid w:val="00486BAD"/>
    <w:rsid w:val="00486BBE"/>
    <w:rsid w:val="00487123"/>
    <w:rsid w:val="00495A75"/>
    <w:rsid w:val="00495CAE"/>
    <w:rsid w:val="0049641F"/>
    <w:rsid w:val="004A005B"/>
    <w:rsid w:val="004A1BD5"/>
    <w:rsid w:val="004A422C"/>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17756"/>
    <w:rsid w:val="005202C6"/>
    <w:rsid w:val="00523C53"/>
    <w:rsid w:val="005272F4"/>
    <w:rsid w:val="00527B8F"/>
    <w:rsid w:val="00536031"/>
    <w:rsid w:val="0054134B"/>
    <w:rsid w:val="00542012"/>
    <w:rsid w:val="00543DF5"/>
    <w:rsid w:val="00545A61"/>
    <w:rsid w:val="0055260D"/>
    <w:rsid w:val="00555422"/>
    <w:rsid w:val="00555810"/>
    <w:rsid w:val="00562715"/>
    <w:rsid w:val="00562DCA"/>
    <w:rsid w:val="0056568F"/>
    <w:rsid w:val="005727F0"/>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8F0"/>
    <w:rsid w:val="0061726B"/>
    <w:rsid w:val="00617B81"/>
    <w:rsid w:val="00622C7F"/>
    <w:rsid w:val="0062387A"/>
    <w:rsid w:val="006326D8"/>
    <w:rsid w:val="0063377D"/>
    <w:rsid w:val="006344BE"/>
    <w:rsid w:val="00634A66"/>
    <w:rsid w:val="00640336"/>
    <w:rsid w:val="00640FC9"/>
    <w:rsid w:val="006414D3"/>
    <w:rsid w:val="006432F2"/>
    <w:rsid w:val="0065320F"/>
    <w:rsid w:val="00653D64"/>
    <w:rsid w:val="00654E13"/>
    <w:rsid w:val="00667489"/>
    <w:rsid w:val="00670D44"/>
    <w:rsid w:val="00673F4C"/>
    <w:rsid w:val="006764C6"/>
    <w:rsid w:val="00676AFC"/>
    <w:rsid w:val="006807CD"/>
    <w:rsid w:val="00682D43"/>
    <w:rsid w:val="0068507D"/>
    <w:rsid w:val="00685BAF"/>
    <w:rsid w:val="00690463"/>
    <w:rsid w:val="00693DE5"/>
    <w:rsid w:val="006955EF"/>
    <w:rsid w:val="006A0D03"/>
    <w:rsid w:val="006A31D2"/>
    <w:rsid w:val="006A41E9"/>
    <w:rsid w:val="006B12CB"/>
    <w:rsid w:val="006B2030"/>
    <w:rsid w:val="006B5916"/>
    <w:rsid w:val="006C4775"/>
    <w:rsid w:val="006C4F4A"/>
    <w:rsid w:val="006C593B"/>
    <w:rsid w:val="006C5E80"/>
    <w:rsid w:val="006C7CEE"/>
    <w:rsid w:val="006D075E"/>
    <w:rsid w:val="006D09DC"/>
    <w:rsid w:val="006D3509"/>
    <w:rsid w:val="006D7C6E"/>
    <w:rsid w:val="006E15A2"/>
    <w:rsid w:val="006E2F95"/>
    <w:rsid w:val="006E3C32"/>
    <w:rsid w:val="006F148B"/>
    <w:rsid w:val="00705EAF"/>
    <w:rsid w:val="0070773E"/>
    <w:rsid w:val="007101CC"/>
    <w:rsid w:val="00715C55"/>
    <w:rsid w:val="0072314B"/>
    <w:rsid w:val="00724E3B"/>
    <w:rsid w:val="00725EEA"/>
    <w:rsid w:val="007276B6"/>
    <w:rsid w:val="00730908"/>
    <w:rsid w:val="00730CE9"/>
    <w:rsid w:val="0073373D"/>
    <w:rsid w:val="00735E64"/>
    <w:rsid w:val="00736B1E"/>
    <w:rsid w:val="007439DB"/>
    <w:rsid w:val="007464DA"/>
    <w:rsid w:val="007568D8"/>
    <w:rsid w:val="007616B4"/>
    <w:rsid w:val="00765316"/>
    <w:rsid w:val="007708C8"/>
    <w:rsid w:val="0077719D"/>
    <w:rsid w:val="00780DF0"/>
    <w:rsid w:val="007810B7"/>
    <w:rsid w:val="00782F0F"/>
    <w:rsid w:val="00783116"/>
    <w:rsid w:val="0078538F"/>
    <w:rsid w:val="00787482"/>
    <w:rsid w:val="007A286D"/>
    <w:rsid w:val="007A314D"/>
    <w:rsid w:val="007A38DF"/>
    <w:rsid w:val="007B00E5"/>
    <w:rsid w:val="007B20CF"/>
    <w:rsid w:val="007B2499"/>
    <w:rsid w:val="007B72E1"/>
    <w:rsid w:val="007B783A"/>
    <w:rsid w:val="007C1B95"/>
    <w:rsid w:val="007C3DF3"/>
    <w:rsid w:val="007C796D"/>
    <w:rsid w:val="007D3AAE"/>
    <w:rsid w:val="007D4095"/>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2153D"/>
    <w:rsid w:val="008255AA"/>
    <w:rsid w:val="00830FF3"/>
    <w:rsid w:val="008334BF"/>
    <w:rsid w:val="00836B8C"/>
    <w:rsid w:val="00840062"/>
    <w:rsid w:val="008410C5"/>
    <w:rsid w:val="00846C08"/>
    <w:rsid w:val="00850794"/>
    <w:rsid w:val="00850FD3"/>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3F39"/>
    <w:rsid w:val="008947AE"/>
    <w:rsid w:val="00894E3A"/>
    <w:rsid w:val="00895A2F"/>
    <w:rsid w:val="00896EBD"/>
    <w:rsid w:val="008A026F"/>
    <w:rsid w:val="008A5665"/>
    <w:rsid w:val="008B24A8"/>
    <w:rsid w:val="008B25E4"/>
    <w:rsid w:val="008B3D78"/>
    <w:rsid w:val="008C261B"/>
    <w:rsid w:val="008C2B29"/>
    <w:rsid w:val="008C4FCA"/>
    <w:rsid w:val="008C7882"/>
    <w:rsid w:val="008C7CE5"/>
    <w:rsid w:val="008D2261"/>
    <w:rsid w:val="008D2270"/>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5449"/>
    <w:rsid w:val="00966F1F"/>
    <w:rsid w:val="00966F6E"/>
    <w:rsid w:val="00975676"/>
    <w:rsid w:val="00976467"/>
    <w:rsid w:val="00976D32"/>
    <w:rsid w:val="009844F7"/>
    <w:rsid w:val="00986D23"/>
    <w:rsid w:val="00992D0A"/>
    <w:rsid w:val="009938F7"/>
    <w:rsid w:val="00995A7D"/>
    <w:rsid w:val="009A05AA"/>
    <w:rsid w:val="009A2D5A"/>
    <w:rsid w:val="009A5B26"/>
    <w:rsid w:val="009A6509"/>
    <w:rsid w:val="009A6E2F"/>
    <w:rsid w:val="009B2969"/>
    <w:rsid w:val="009B2C7E"/>
    <w:rsid w:val="009B6DBD"/>
    <w:rsid w:val="009C108A"/>
    <w:rsid w:val="009C2E47"/>
    <w:rsid w:val="009C6BFB"/>
    <w:rsid w:val="009D0C05"/>
    <w:rsid w:val="009D6AA7"/>
    <w:rsid w:val="009E24B7"/>
    <w:rsid w:val="009E2C00"/>
    <w:rsid w:val="009E49AD"/>
    <w:rsid w:val="009E4CC5"/>
    <w:rsid w:val="009E66FE"/>
    <w:rsid w:val="009E70F4"/>
    <w:rsid w:val="009E72A3"/>
    <w:rsid w:val="009F1AD2"/>
    <w:rsid w:val="00A00C78"/>
    <w:rsid w:val="00A0479E"/>
    <w:rsid w:val="00A07979"/>
    <w:rsid w:val="00A11755"/>
    <w:rsid w:val="00A127A9"/>
    <w:rsid w:val="00A16BAC"/>
    <w:rsid w:val="00A207FB"/>
    <w:rsid w:val="00A20ADC"/>
    <w:rsid w:val="00A24016"/>
    <w:rsid w:val="00A265BF"/>
    <w:rsid w:val="00A26F44"/>
    <w:rsid w:val="00A34FAB"/>
    <w:rsid w:val="00A42C43"/>
    <w:rsid w:val="00A4313D"/>
    <w:rsid w:val="00A50120"/>
    <w:rsid w:val="00A60351"/>
    <w:rsid w:val="00A61014"/>
    <w:rsid w:val="00A61C6D"/>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5B4F"/>
    <w:rsid w:val="00AB6BA7"/>
    <w:rsid w:val="00AB7BE8"/>
    <w:rsid w:val="00AD0710"/>
    <w:rsid w:val="00AD4DB9"/>
    <w:rsid w:val="00AD63C0"/>
    <w:rsid w:val="00AE35B2"/>
    <w:rsid w:val="00AE6AA0"/>
    <w:rsid w:val="00AF406C"/>
    <w:rsid w:val="00AF45ED"/>
    <w:rsid w:val="00B00CA4"/>
    <w:rsid w:val="00B02195"/>
    <w:rsid w:val="00B075D6"/>
    <w:rsid w:val="00B113B9"/>
    <w:rsid w:val="00B119A2"/>
    <w:rsid w:val="00B13B6D"/>
    <w:rsid w:val="00B177F2"/>
    <w:rsid w:val="00B201F1"/>
    <w:rsid w:val="00B2603F"/>
    <w:rsid w:val="00B267CA"/>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2BAB"/>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F00EF"/>
    <w:rsid w:val="00BF58FC"/>
    <w:rsid w:val="00BF74C7"/>
    <w:rsid w:val="00C01F77"/>
    <w:rsid w:val="00C01FFC"/>
    <w:rsid w:val="00C05321"/>
    <w:rsid w:val="00C06AE4"/>
    <w:rsid w:val="00C114FF"/>
    <w:rsid w:val="00C11D49"/>
    <w:rsid w:val="00C12F42"/>
    <w:rsid w:val="00C171A1"/>
    <w:rsid w:val="00C171A4"/>
    <w:rsid w:val="00C17F12"/>
    <w:rsid w:val="00C20734"/>
    <w:rsid w:val="00C21BDD"/>
    <w:rsid w:val="00C21C1A"/>
    <w:rsid w:val="00C237E9"/>
    <w:rsid w:val="00C23E47"/>
    <w:rsid w:val="00C32989"/>
    <w:rsid w:val="00C32BD1"/>
    <w:rsid w:val="00C341E6"/>
    <w:rsid w:val="00C34260"/>
    <w:rsid w:val="00C36883"/>
    <w:rsid w:val="00C40928"/>
    <w:rsid w:val="00C40CFF"/>
    <w:rsid w:val="00C42697"/>
    <w:rsid w:val="00C43F01"/>
    <w:rsid w:val="00C47552"/>
    <w:rsid w:val="00C56F31"/>
    <w:rsid w:val="00C57A81"/>
    <w:rsid w:val="00C60193"/>
    <w:rsid w:val="00C605FD"/>
    <w:rsid w:val="00C634D4"/>
    <w:rsid w:val="00C63AA5"/>
    <w:rsid w:val="00C65071"/>
    <w:rsid w:val="00C65FCC"/>
    <w:rsid w:val="00C6727C"/>
    <w:rsid w:val="00C6744C"/>
    <w:rsid w:val="00C73134"/>
    <w:rsid w:val="00C73F6D"/>
    <w:rsid w:val="00C74F6E"/>
    <w:rsid w:val="00C77FA4"/>
    <w:rsid w:val="00C77FFA"/>
    <w:rsid w:val="00C80401"/>
    <w:rsid w:val="00C817DA"/>
    <w:rsid w:val="00C81C97"/>
    <w:rsid w:val="00C828CF"/>
    <w:rsid w:val="00C840C2"/>
    <w:rsid w:val="00C84101"/>
    <w:rsid w:val="00C8535F"/>
    <w:rsid w:val="00C90EDA"/>
    <w:rsid w:val="00C959E7"/>
    <w:rsid w:val="00CA28D8"/>
    <w:rsid w:val="00CC1E65"/>
    <w:rsid w:val="00CC2275"/>
    <w:rsid w:val="00CC567A"/>
    <w:rsid w:val="00CD4059"/>
    <w:rsid w:val="00CD4E5A"/>
    <w:rsid w:val="00CD6AFD"/>
    <w:rsid w:val="00CE03CE"/>
    <w:rsid w:val="00CE0F5D"/>
    <w:rsid w:val="00CE166F"/>
    <w:rsid w:val="00CE1A6A"/>
    <w:rsid w:val="00CE3A8A"/>
    <w:rsid w:val="00CF069C"/>
    <w:rsid w:val="00CF0DFF"/>
    <w:rsid w:val="00D028A9"/>
    <w:rsid w:val="00D0359D"/>
    <w:rsid w:val="00D04DED"/>
    <w:rsid w:val="00D06FFC"/>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54D2B"/>
    <w:rsid w:val="00D606B2"/>
    <w:rsid w:val="00D625A7"/>
    <w:rsid w:val="00D63575"/>
    <w:rsid w:val="00D64074"/>
    <w:rsid w:val="00D65777"/>
    <w:rsid w:val="00D665F0"/>
    <w:rsid w:val="00D70934"/>
    <w:rsid w:val="00D728A0"/>
    <w:rsid w:val="00D74018"/>
    <w:rsid w:val="00D83661"/>
    <w:rsid w:val="00D9216A"/>
    <w:rsid w:val="00D95BBB"/>
    <w:rsid w:val="00D97E7D"/>
    <w:rsid w:val="00DA2A06"/>
    <w:rsid w:val="00DB1C8C"/>
    <w:rsid w:val="00DB3439"/>
    <w:rsid w:val="00DB3618"/>
    <w:rsid w:val="00DB468A"/>
    <w:rsid w:val="00DC1FEA"/>
    <w:rsid w:val="00DC2946"/>
    <w:rsid w:val="00DC3158"/>
    <w:rsid w:val="00DC4340"/>
    <w:rsid w:val="00DC550F"/>
    <w:rsid w:val="00DC64FD"/>
    <w:rsid w:val="00DD17CF"/>
    <w:rsid w:val="00DD53C3"/>
    <w:rsid w:val="00DD669D"/>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24D3"/>
    <w:rsid w:val="00E1267F"/>
    <w:rsid w:val="00E14C47"/>
    <w:rsid w:val="00E22698"/>
    <w:rsid w:val="00E25B7C"/>
    <w:rsid w:val="00E3076B"/>
    <w:rsid w:val="00E33224"/>
    <w:rsid w:val="00E3725B"/>
    <w:rsid w:val="00E434D1"/>
    <w:rsid w:val="00E50D58"/>
    <w:rsid w:val="00E54F11"/>
    <w:rsid w:val="00E56CBB"/>
    <w:rsid w:val="00E579A6"/>
    <w:rsid w:val="00E61950"/>
    <w:rsid w:val="00E61E51"/>
    <w:rsid w:val="00E6552A"/>
    <w:rsid w:val="00E65731"/>
    <w:rsid w:val="00E6707D"/>
    <w:rsid w:val="00E70337"/>
    <w:rsid w:val="00E70E7C"/>
    <w:rsid w:val="00E71313"/>
    <w:rsid w:val="00E72606"/>
    <w:rsid w:val="00E73C3E"/>
    <w:rsid w:val="00E74050"/>
    <w:rsid w:val="00E7502C"/>
    <w:rsid w:val="00E82496"/>
    <w:rsid w:val="00E834CD"/>
    <w:rsid w:val="00E846DC"/>
    <w:rsid w:val="00E84E9D"/>
    <w:rsid w:val="00E86CEE"/>
    <w:rsid w:val="00E935AF"/>
    <w:rsid w:val="00E9510E"/>
    <w:rsid w:val="00EB0E20"/>
    <w:rsid w:val="00EB1682"/>
    <w:rsid w:val="00EB1A80"/>
    <w:rsid w:val="00EB457B"/>
    <w:rsid w:val="00EC0F75"/>
    <w:rsid w:val="00EC27E1"/>
    <w:rsid w:val="00EC3E4B"/>
    <w:rsid w:val="00EC47C4"/>
    <w:rsid w:val="00EC4F3A"/>
    <w:rsid w:val="00EC5045"/>
    <w:rsid w:val="00EC5E74"/>
    <w:rsid w:val="00ED594D"/>
    <w:rsid w:val="00EE12BA"/>
    <w:rsid w:val="00EE2014"/>
    <w:rsid w:val="00EE36E1"/>
    <w:rsid w:val="00EE6228"/>
    <w:rsid w:val="00EE7AC7"/>
    <w:rsid w:val="00EE7B3F"/>
    <w:rsid w:val="00EF1B6B"/>
    <w:rsid w:val="00EF2247"/>
    <w:rsid w:val="00EF3A8A"/>
    <w:rsid w:val="00F0054D"/>
    <w:rsid w:val="00F01B46"/>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306C"/>
    <w:rsid w:val="00F55A04"/>
    <w:rsid w:val="00F572EF"/>
    <w:rsid w:val="00F61A31"/>
    <w:rsid w:val="00F62DEC"/>
    <w:rsid w:val="00F66F00"/>
    <w:rsid w:val="00F67A2D"/>
    <w:rsid w:val="00F70A1B"/>
    <w:rsid w:val="00F72FDF"/>
    <w:rsid w:val="00F75960"/>
    <w:rsid w:val="00F801AF"/>
    <w:rsid w:val="00F82526"/>
    <w:rsid w:val="00F83494"/>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752C"/>
    <w:rsid w:val="00FC7B09"/>
    <w:rsid w:val="00FD0492"/>
    <w:rsid w:val="00FD13EC"/>
    <w:rsid w:val="00FD1E45"/>
    <w:rsid w:val="00FD4DA8"/>
    <w:rsid w:val="00FD4EEF"/>
    <w:rsid w:val="00FD5461"/>
    <w:rsid w:val="00FD642D"/>
    <w:rsid w:val="00FD6BDB"/>
    <w:rsid w:val="00FD6F00"/>
    <w:rsid w:val="00FD6FF1"/>
    <w:rsid w:val="00FD7AB4"/>
    <w:rsid w:val="00FD7B98"/>
    <w:rsid w:val="00FE43BB"/>
    <w:rsid w:val="00FF18D2"/>
    <w:rsid w:val="00FF22F5"/>
    <w:rsid w:val="00FF346E"/>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Car17, Car17 Car, Char Char Char,Annotationtext,Car17,Char,Char Char Char,Char Char1,Comment Text Char Char,Comment Text Char Char Char Char,Comment Text Char Char1,Comment Text Char1,Comment Text Char1 Cha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Car17 Char, Car17 Car Char, Char Char Char Char,Annotationtext Char,Car17 Char,Char Char,Char Char Char Char,Char Char1 Char,Comment Text Char Char Char,Comment Text Char Char Char Char Char,Comment Text Char1 Char1"/>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BODY">
    <w:name w:val="BODY"/>
    <w:basedOn w:val="Normln"/>
    <w:qFormat/>
    <w:rsid w:val="00992D0A"/>
    <w:pPr>
      <w:spacing w:after="220" w:line="240" w:lineRule="auto"/>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62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4E0CD-F000-4C98-9FF8-AF768BA6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1843</Words>
  <Characters>10877</Characters>
  <Application>Microsoft Office Word</Application>
  <DocSecurity>0</DocSecurity>
  <Lines>90</Lines>
  <Paragraphs>25</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Vqrdtemplateclean_cs</vt:lpstr>
      <vt:lpstr>Vqrdtemplateclean_cs</vt:lpstr>
      <vt:lpstr>Vqrdtemplateclean_cs</vt:lpstr>
    </vt:vector>
  </TitlesOfParts>
  <Company>CDT</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15</cp:revision>
  <cp:lastPrinted>2025-03-25T13:07:00Z</cp:lastPrinted>
  <dcterms:created xsi:type="dcterms:W3CDTF">2025-01-03T10:38:00Z</dcterms:created>
  <dcterms:modified xsi:type="dcterms:W3CDTF">2025-03-25T13:07:00Z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