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01225116" w:rsidR="00C114FF" w:rsidRPr="00B41D57" w:rsidRDefault="00E51AFB" w:rsidP="008D2CD3">
      <w:pPr>
        <w:pStyle w:val="Style3"/>
        <w:numPr>
          <w:ilvl w:val="0"/>
          <w:numId w:val="0"/>
        </w:numPr>
      </w:pPr>
      <w:r>
        <w:t xml:space="preserve">B. </w:t>
      </w:r>
      <w:r w:rsidR="00C605FD" w:rsidRPr="00B41D57">
        <w:t>PŘÍBALOVÁ INFORMACE</w:t>
      </w:r>
    </w:p>
    <w:p w14:paraId="43EC8B49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935A24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Osphos 51 mg/ml injekční roztok pro koně</w:t>
      </w:r>
    </w:p>
    <w:p w14:paraId="1F24FE97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3396F1" w14:textId="77777777" w:rsidR="00AC1584" w:rsidRPr="00B41D57" w:rsidRDefault="00AC158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AEA089B" w14:textId="18F268C1" w:rsidR="00AC1584" w:rsidRPr="00AC1584" w:rsidRDefault="009D7AD7" w:rsidP="00AC1584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Každý</w:t>
      </w:r>
      <w:r w:rsidR="005435CE" w:rsidRPr="00AC1584">
        <w:rPr>
          <w:iCs/>
          <w:szCs w:val="22"/>
        </w:rPr>
        <w:t xml:space="preserve"> </w:t>
      </w:r>
      <w:r w:rsidR="00AC1584" w:rsidRPr="00AC1584">
        <w:rPr>
          <w:iCs/>
          <w:szCs w:val="22"/>
        </w:rPr>
        <w:t xml:space="preserve">ml obsahuje: </w:t>
      </w:r>
    </w:p>
    <w:p w14:paraId="6F58E5D1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0757604" w14:textId="68A68C59" w:rsidR="00AC1584" w:rsidRPr="00AC1584" w:rsidRDefault="00AC1584" w:rsidP="00AC1584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AC1584">
        <w:rPr>
          <w:b/>
          <w:bCs/>
          <w:iCs/>
          <w:szCs w:val="22"/>
        </w:rPr>
        <w:t>Léčivá látka:</w:t>
      </w:r>
    </w:p>
    <w:p w14:paraId="753D514A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Acidum clodronicum 51 mg</w:t>
      </w:r>
    </w:p>
    <w:p w14:paraId="4C647BEB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(odpovídá 74,98 mg dinatrii clodronas tetrahydricus)</w:t>
      </w:r>
    </w:p>
    <w:p w14:paraId="45F2BFE9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22FEF254" w:rsidR="00C114FF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Čirý, bezbarvý injekční roztok</w:t>
      </w:r>
      <w:r w:rsidR="005435CE">
        <w:rPr>
          <w:iCs/>
          <w:szCs w:val="22"/>
        </w:rPr>
        <w:t>, prakticky bez viditelných částic</w:t>
      </w:r>
      <w:r w:rsidRPr="00AC1584">
        <w:rPr>
          <w:iCs/>
          <w:szCs w:val="22"/>
        </w:rPr>
        <w:t>.</w:t>
      </w:r>
    </w:p>
    <w:p w14:paraId="444784C4" w14:textId="77777777" w:rsid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B796AD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43D656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69C64C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Koně.</w:t>
      </w:r>
    </w:p>
    <w:p w14:paraId="614032BE" w14:textId="77777777" w:rsidR="004C504C" w:rsidRDefault="004C504C" w:rsidP="004C504C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  <w:szCs w:val="22"/>
        </w:rPr>
        <w:drawing>
          <wp:inline distT="0" distB="0" distL="0" distR="0" wp14:anchorId="76E7937D" wp14:editId="3E735FD9">
            <wp:extent cx="714375" cy="590550"/>
            <wp:effectExtent l="0" t="0" r="0" b="0"/>
            <wp:docPr id="494221699" name="Picture 2" descr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A6C6C9E" w14:textId="77777777" w:rsidR="00AC1584" w:rsidRPr="00AC1584" w:rsidRDefault="00AC158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B0C5EC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0E9AD9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Ke zmírnění klinicky zjevného kulhání předních končetin dospělých koní při resorpci kostní tkáně distální člunkovité (navikulární) kosti.</w:t>
      </w:r>
    </w:p>
    <w:p w14:paraId="5AB0DC3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827E9B" w14:textId="77777777" w:rsidR="00AC1584" w:rsidRPr="00B41D57" w:rsidRDefault="00AC158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C3AC2E" w14:textId="69C467A1" w:rsidR="00AC1584" w:rsidRPr="00AC1584" w:rsidRDefault="005435CE" w:rsidP="00AC1584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Nepoužívat u </w:t>
      </w:r>
      <w:r w:rsidR="00AC1584" w:rsidRPr="00AC1584">
        <w:rPr>
          <w:iCs/>
          <w:szCs w:val="22"/>
        </w:rPr>
        <w:t>koní mladší</w:t>
      </w:r>
      <w:r>
        <w:rPr>
          <w:iCs/>
          <w:szCs w:val="22"/>
        </w:rPr>
        <w:t>ch</w:t>
      </w:r>
      <w:r w:rsidR="00AC1584" w:rsidRPr="00AC1584">
        <w:rPr>
          <w:iCs/>
          <w:szCs w:val="22"/>
        </w:rPr>
        <w:t xml:space="preserve"> 4 let z důvodu absence údajů o </w:t>
      </w:r>
      <w:proofErr w:type="gramStart"/>
      <w:r w:rsidR="00AC1584" w:rsidRPr="00AC1584">
        <w:rPr>
          <w:iCs/>
          <w:szCs w:val="22"/>
        </w:rPr>
        <w:t>použití  u</w:t>
      </w:r>
      <w:proofErr w:type="gramEnd"/>
      <w:r w:rsidR="00AC1584" w:rsidRPr="00AC1584">
        <w:rPr>
          <w:iCs/>
          <w:szCs w:val="22"/>
        </w:rPr>
        <w:t xml:space="preserve"> rostoucích zvířat.</w:t>
      </w:r>
      <w:r w:rsidR="00AC1584" w:rsidRPr="00AC1584">
        <w:rPr>
          <w:iCs/>
          <w:szCs w:val="22"/>
        </w:rPr>
        <w:br/>
      </w:r>
      <w:r>
        <w:rPr>
          <w:iCs/>
          <w:szCs w:val="22"/>
        </w:rPr>
        <w:t>Nepoužívat u </w:t>
      </w:r>
      <w:r w:rsidR="00AC1584" w:rsidRPr="00AC1584">
        <w:rPr>
          <w:iCs/>
          <w:szCs w:val="22"/>
        </w:rPr>
        <w:t xml:space="preserve">koní s poruchou funkce ledvin. </w:t>
      </w:r>
    </w:p>
    <w:p w14:paraId="7AB14796" w14:textId="48A71E8C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 xml:space="preserve">Nepoužívat v </w:t>
      </w:r>
      <w:r w:rsidR="005435CE" w:rsidRPr="00AC1584">
        <w:rPr>
          <w:iCs/>
          <w:szCs w:val="22"/>
        </w:rPr>
        <w:t>případ</w:t>
      </w:r>
      <w:r w:rsidR="005435CE">
        <w:rPr>
          <w:iCs/>
          <w:szCs w:val="22"/>
        </w:rPr>
        <w:t>ech</w:t>
      </w:r>
      <w:r w:rsidR="005435CE" w:rsidRPr="00AC1584">
        <w:rPr>
          <w:iCs/>
          <w:szCs w:val="22"/>
        </w:rPr>
        <w:t xml:space="preserve"> </w:t>
      </w:r>
      <w:r w:rsidRPr="00AC1584">
        <w:rPr>
          <w:iCs/>
          <w:szCs w:val="22"/>
        </w:rPr>
        <w:t xml:space="preserve">přecitlivělosti na léčivou látku nebo </w:t>
      </w:r>
      <w:r w:rsidR="005435CE">
        <w:rPr>
          <w:iCs/>
          <w:szCs w:val="22"/>
        </w:rPr>
        <w:t xml:space="preserve">na </w:t>
      </w:r>
      <w:r w:rsidRPr="00AC1584">
        <w:rPr>
          <w:iCs/>
          <w:szCs w:val="22"/>
        </w:rPr>
        <w:t>některou z</w:t>
      </w:r>
      <w:r w:rsidR="005435CE">
        <w:rPr>
          <w:iCs/>
          <w:szCs w:val="22"/>
        </w:rPr>
        <w:t> </w:t>
      </w:r>
      <w:r w:rsidRPr="00AC1584">
        <w:rPr>
          <w:iCs/>
          <w:szCs w:val="22"/>
        </w:rPr>
        <w:t>pomocných látek.</w:t>
      </w:r>
    </w:p>
    <w:p w14:paraId="5C841829" w14:textId="77777777" w:rsidR="005435CE" w:rsidRPr="00AC1584" w:rsidRDefault="005435CE" w:rsidP="005435CE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Nepodávat intravenózně.</w:t>
      </w:r>
    </w:p>
    <w:p w14:paraId="214F8839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2D5F0F7" w14:textId="77777777" w:rsidR="00AC1584" w:rsidRPr="00B41D57" w:rsidRDefault="00AC1584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65388804" w:rsidR="00F354C5" w:rsidRPr="00B41D5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62FB625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 xml:space="preserve">Tento veterinární léčivý přípravek lze použít až po řádném vyšetření kulhání včetně nervové blokády, popř. fixace kloubů a posouzení vhodnou zobrazovací metodou ke zjištění příčiny bolesti a povahy kostních lézí. Klinické zlepšení kulhání nemusí být doprovázeno zlepšením stavu navikulární kosti na RTG snímcích. 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5E573AEA" w:rsidR="00F354C5" w:rsidRPr="00B41D5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41A6DD77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Při podávání bisfosfonátů buďte opatrní u koní s potížemi, které mají dopad na regulaci minerálů nebo elektrolytů v těle, například při hyperkalemické periodické paralýze či hypokalcémii.</w:t>
      </w:r>
    </w:p>
    <w:p w14:paraId="398AF3A6" w14:textId="2DBC06E4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 xml:space="preserve">Při použití </w:t>
      </w:r>
      <w:r w:rsidR="00295CB9">
        <w:rPr>
          <w:iCs/>
          <w:szCs w:val="22"/>
        </w:rPr>
        <w:t xml:space="preserve">veterinárního léčivého </w:t>
      </w:r>
      <w:r w:rsidRPr="00AC1584">
        <w:rPr>
          <w:iCs/>
          <w:szCs w:val="22"/>
        </w:rPr>
        <w:t xml:space="preserve">přípravku je třeba zajistit dostatečný přístup k pitné vodě. Pokud jsou pochybnosti o renální funkci, před podáním </w:t>
      </w:r>
      <w:r w:rsidR="00295CB9">
        <w:rPr>
          <w:iCs/>
          <w:szCs w:val="22"/>
        </w:rPr>
        <w:t xml:space="preserve">veterinárního léčivého přípravku </w:t>
      </w:r>
      <w:r w:rsidRPr="00AC1584">
        <w:rPr>
          <w:iCs/>
          <w:szCs w:val="22"/>
        </w:rPr>
        <w:t xml:space="preserve">by </w:t>
      </w:r>
      <w:r w:rsidR="00295CB9" w:rsidRPr="00AC1584">
        <w:rPr>
          <w:iCs/>
          <w:szCs w:val="22"/>
        </w:rPr>
        <w:t>měl</w:t>
      </w:r>
      <w:r w:rsidR="00295CB9">
        <w:rPr>
          <w:iCs/>
          <w:szCs w:val="22"/>
        </w:rPr>
        <w:t>y</w:t>
      </w:r>
      <w:r w:rsidR="00295CB9" w:rsidRPr="00AC1584">
        <w:rPr>
          <w:iCs/>
          <w:szCs w:val="22"/>
        </w:rPr>
        <w:t xml:space="preserve"> </w:t>
      </w:r>
      <w:r w:rsidRPr="00AC1584">
        <w:rPr>
          <w:iCs/>
          <w:szCs w:val="22"/>
        </w:rPr>
        <w:t>být posouzené renální parametry. Příjem vody a výdeje moči by měl být po podání monitorovaný.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5861AA1F" w:rsidR="00F354C5" w:rsidRPr="00B41D57" w:rsidRDefault="00C605FD" w:rsidP="008D2CD3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B41D57">
        <w:t>:</w:t>
      </w:r>
    </w:p>
    <w:p w14:paraId="21A801D9" w14:textId="01459554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 xml:space="preserve">Náhodné samopodání injekce tohoto </w:t>
      </w:r>
      <w:r w:rsidR="00295CB9">
        <w:rPr>
          <w:iCs/>
          <w:szCs w:val="22"/>
        </w:rPr>
        <w:t xml:space="preserve">veterinárního léčivého </w:t>
      </w:r>
      <w:r w:rsidRPr="00AC1584">
        <w:rPr>
          <w:iCs/>
          <w:szCs w:val="22"/>
        </w:rPr>
        <w:t>přípravku může zvýšit riziko obtížného průběhu porodu u těhotných žen a negativně ovlivnit plodnost u mužů.</w:t>
      </w:r>
    </w:p>
    <w:p w14:paraId="455B9E99" w14:textId="216135E4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 xml:space="preserve">Při </w:t>
      </w:r>
      <w:r w:rsidR="00407912">
        <w:rPr>
          <w:iCs/>
          <w:szCs w:val="22"/>
        </w:rPr>
        <w:t>nakládání</w:t>
      </w:r>
      <w:r w:rsidRPr="00AC1584">
        <w:rPr>
          <w:iCs/>
          <w:szCs w:val="22"/>
        </w:rPr>
        <w:t xml:space="preserve"> s </w:t>
      </w:r>
      <w:r w:rsidR="00295CB9">
        <w:rPr>
          <w:iCs/>
          <w:szCs w:val="22"/>
        </w:rPr>
        <w:t xml:space="preserve">veterinárním léčivým </w:t>
      </w:r>
      <w:r w:rsidRPr="00AC1584">
        <w:rPr>
          <w:iCs/>
          <w:szCs w:val="22"/>
        </w:rPr>
        <w:t xml:space="preserve">přípravkem zabraňte samopodání injekce. </w:t>
      </w:r>
    </w:p>
    <w:p w14:paraId="66E03955" w14:textId="295D363C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 xml:space="preserve">V případě náhodného sebepoškození injekčně </w:t>
      </w:r>
      <w:r w:rsidR="00295CB9">
        <w:rPr>
          <w:iCs/>
          <w:szCs w:val="22"/>
        </w:rPr>
        <w:t>podaným</w:t>
      </w:r>
      <w:r w:rsidR="00295CB9" w:rsidRPr="00AC1584">
        <w:rPr>
          <w:iCs/>
          <w:szCs w:val="22"/>
        </w:rPr>
        <w:t xml:space="preserve"> </w:t>
      </w:r>
      <w:r w:rsidRPr="00AC1584">
        <w:rPr>
          <w:iCs/>
          <w:szCs w:val="22"/>
        </w:rPr>
        <w:t>přípravkem</w:t>
      </w:r>
      <w:r w:rsidR="00564D6A">
        <w:rPr>
          <w:iCs/>
          <w:szCs w:val="22"/>
        </w:rPr>
        <w:t>,</w:t>
      </w:r>
      <w:r w:rsidRPr="00AC1584">
        <w:rPr>
          <w:iCs/>
          <w:szCs w:val="22"/>
        </w:rPr>
        <w:t xml:space="preserve"> vyhledejte ihned lékařskou pomoc a ukažte příbalovou informaci nebo etiketu praktickému lékaři.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73D27655" w14:textId="1D18B8C3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3E9B4CE8" w14:textId="77777777" w:rsidR="00295CB9" w:rsidRDefault="00295CB9" w:rsidP="00295CB9">
      <w:pPr>
        <w:tabs>
          <w:tab w:val="clear" w:pos="567"/>
        </w:tabs>
        <w:spacing w:line="240" w:lineRule="auto"/>
      </w:pPr>
      <w:r w:rsidRPr="00B41D57">
        <w:t>Nebyla stanovena bezpečnost veterinárního léčivého přípravku pro použití během březosti</w:t>
      </w:r>
      <w:r>
        <w:t xml:space="preserve"> nebo </w:t>
      </w:r>
      <w:r w:rsidRPr="00B41D57">
        <w:t>laktace</w:t>
      </w:r>
      <w:r>
        <w:t>.</w:t>
      </w:r>
    </w:p>
    <w:p w14:paraId="60034E5B" w14:textId="6BBFF808" w:rsidR="00295CB9" w:rsidRDefault="00295CB9" w:rsidP="00295CB9">
      <w:pPr>
        <w:tabs>
          <w:tab w:val="clear" w:pos="567"/>
        </w:tabs>
        <w:spacing w:line="240" w:lineRule="auto"/>
      </w:pPr>
      <w:r w:rsidRPr="00B41D57">
        <w:t>Použití není doporučováno během březosti</w:t>
      </w:r>
      <w:r>
        <w:t xml:space="preserve"> nebo </w:t>
      </w:r>
      <w:r w:rsidRPr="00B41D57">
        <w:t>laktace</w:t>
      </w:r>
      <w:r>
        <w:t>.</w:t>
      </w:r>
    </w:p>
    <w:p w14:paraId="7E5831C1" w14:textId="584B155B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 w:rsidDel="00295CB9">
        <w:rPr>
          <w:iCs/>
          <w:szCs w:val="22"/>
        </w:rPr>
        <w:t xml:space="preserve">Laboratorní studie u potkanů a králíků prokázaly maternální toxicitu, zejména v pozdních fázích březosti. </w:t>
      </w:r>
      <w:r w:rsidRPr="00AC1584">
        <w:rPr>
          <w:iCs/>
          <w:szCs w:val="22"/>
        </w:rPr>
        <w:t>Laboratorní studie u potkanů a králíků nepodaly důkaz o teratogenním a fetotoxickém účinku.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F266AC0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626BDCF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Léky, jejichž toxicitu zhoršuje snížená hladina vápníku v krvi/séru (např. aminoglykosidová antibiotika) a přípravky snižující sérovou hladinu vápníku (např. tetracyklinová antibiotika), nepodávejte 72 hodin po podání kyseliny klodronové.</w:t>
      </w:r>
    </w:p>
    <w:p w14:paraId="074C7443" w14:textId="29F78E2A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 xml:space="preserve">Při souběžném podávání potenciálně </w:t>
      </w:r>
      <w:proofErr w:type="spellStart"/>
      <w:r w:rsidRPr="00AC1584">
        <w:rPr>
          <w:iCs/>
          <w:szCs w:val="22"/>
        </w:rPr>
        <w:t>nefrotoxických</w:t>
      </w:r>
      <w:proofErr w:type="spellEnd"/>
      <w:r w:rsidRPr="00AC1584">
        <w:rPr>
          <w:iCs/>
          <w:szCs w:val="22"/>
        </w:rPr>
        <w:t xml:space="preserve"> l</w:t>
      </w:r>
      <w:r w:rsidR="0054149E">
        <w:rPr>
          <w:iCs/>
          <w:szCs w:val="22"/>
        </w:rPr>
        <w:t>átek</w:t>
      </w:r>
      <w:r w:rsidRPr="00AC1584">
        <w:rPr>
          <w:iCs/>
          <w:szCs w:val="22"/>
        </w:rPr>
        <w:t>, jako jsou NSAD (nesteroidní antiflogistika), je třeba postupovat se zvýšenou opatrností a sledovat funkci ledvin.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1788570F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31FFE393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Při překročení dávky může dojít k nežádoucím účinkům. Při dvoj-, troj- a pětinásobku dávky se může objevit flémování, potřásání hlavou, pohyby krčního svalstva jako při dávení, hrabání, neklid, deprese, svalové záškuby a kolika. Může také dojít k postupnému nárůstu hladiny močovinového dusíku (BUN) a kreatininu v séru úměrně dávce. Při pětinásobné dávce kyseliny klodronové se u tří ze šesti koní objevily dočasné abnormality chůze – hypermetrie, spasticita nebo mírná ataxie.</w:t>
      </w:r>
    </w:p>
    <w:p w14:paraId="40CA4C54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U dvou z osmi zvířat, která dostala trojnásobek doporučené dávky, došlo k erozi žláz v žaludeční sliznici. Tento jev nebyl pozorován u skupin s doporučenou dávkou nebo jejím dvojnásobkem.</w:t>
      </w:r>
    </w:p>
    <w:p w14:paraId="2BDF08C2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 xml:space="preserve">U jednoho z osmi koní s trojnásobkem doporučené dávky byla na jednom z místa injekčního podání pozorována svalová atrofie o průměru 3 cm. </w:t>
      </w:r>
    </w:p>
    <w:p w14:paraId="265FD6F1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V klinické studii ověřující u 48 zvířat bezpečnost látky byly u 94 % zvířat po podání trojnásobné dávky pozorovány příznaky koliky. Ve většině případů stačilo ke zmírnění příznaků opakované provedení koně na ohlávce.</w:t>
      </w:r>
    </w:p>
    <w:p w14:paraId="45C59492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Měsíční podávání jedné dávky v průběhu šesti měsíců nevedlo ke známkám předávkování.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54B2613D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34B6B6C6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 xml:space="preserve">Studie kompatibility nejsou k dispozici, a proto tento veterinární léčivý přípravek nesmí být mísen s žádnými dalšími veterinárními léčivými přípravky. 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AC8E003" w14:textId="77777777" w:rsidR="00295CB9" w:rsidRPr="00232B3E" w:rsidRDefault="00295CB9" w:rsidP="00295CB9">
      <w:pPr>
        <w:spacing w:line="240" w:lineRule="auto"/>
        <w:rPr>
          <w:bCs/>
        </w:rPr>
      </w:pPr>
      <w:r>
        <w:rPr>
          <w:bCs/>
        </w:rPr>
        <w:t>Koně:</w:t>
      </w:r>
    </w:p>
    <w:p w14:paraId="0746CE93" w14:textId="77777777" w:rsidR="00295CB9" w:rsidRPr="006414D3" w:rsidRDefault="00295CB9" w:rsidP="00295CB9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295CB9" w14:paraId="2D4650D7" w14:textId="77777777" w:rsidTr="00545A40">
        <w:tc>
          <w:tcPr>
            <w:tcW w:w="1957" w:type="pct"/>
          </w:tcPr>
          <w:p w14:paraId="426F9E11" w14:textId="77777777" w:rsidR="00295CB9" w:rsidRPr="00B41D57" w:rsidRDefault="00295CB9" w:rsidP="00545A40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4F0FC2A6" w14:textId="77777777" w:rsidR="00295CB9" w:rsidRPr="008D0F80" w:rsidRDefault="00295CB9" w:rsidP="00545A40">
            <w:pPr>
              <w:spacing w:before="60" w:after="60"/>
              <w:rPr>
                <w:szCs w:val="22"/>
                <w:highlight w:val="yellow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2AAB374B" w14:textId="77777777" w:rsidR="00295CB9" w:rsidRPr="005C6CB1" w:rsidRDefault="00295CB9" w:rsidP="00545A4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Nervozita</w:t>
            </w:r>
          </w:p>
          <w:p w14:paraId="0574FBAF" w14:textId="77777777" w:rsidR="00295CB9" w:rsidRDefault="00295CB9" w:rsidP="00545A4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Olizování pysků</w:t>
            </w:r>
            <w:r w:rsidRPr="005C6CB1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kolika</w:t>
            </w:r>
          </w:p>
          <w:p w14:paraId="73E82E54" w14:textId="77777777" w:rsidR="00295CB9" w:rsidRPr="006414D3" w:rsidRDefault="00295CB9" w:rsidP="00545A4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Zívání</w:t>
            </w:r>
          </w:p>
        </w:tc>
      </w:tr>
      <w:tr w:rsidR="00295CB9" w14:paraId="56300CEA" w14:textId="77777777" w:rsidTr="00545A40">
        <w:tc>
          <w:tcPr>
            <w:tcW w:w="1957" w:type="pct"/>
          </w:tcPr>
          <w:p w14:paraId="7D981966" w14:textId="77777777" w:rsidR="00295CB9" w:rsidRPr="00B41D57" w:rsidRDefault="00295CB9" w:rsidP="00545A40">
            <w:pPr>
              <w:spacing w:before="60" w:after="60"/>
              <w:rPr>
                <w:szCs w:val="22"/>
              </w:rPr>
            </w:pPr>
            <w:r w:rsidRPr="00B41D57">
              <w:t>Méně časté</w:t>
            </w:r>
          </w:p>
          <w:p w14:paraId="4F136154" w14:textId="77777777" w:rsidR="00295CB9" w:rsidRPr="008D0F80" w:rsidRDefault="00295CB9" w:rsidP="00545A40">
            <w:pPr>
              <w:spacing w:before="60" w:after="60"/>
              <w:rPr>
                <w:szCs w:val="22"/>
                <w:highlight w:val="yellow"/>
              </w:rPr>
            </w:pPr>
            <w:r w:rsidRPr="00B41D57">
              <w:t xml:space="preserve">(1 až </w:t>
            </w:r>
            <w:r>
              <w:t>10</w:t>
            </w:r>
            <w:r w:rsidRPr="00B41D57">
              <w:t> zvířat / 1 000 ošetřených zvířat):</w:t>
            </w:r>
          </w:p>
        </w:tc>
        <w:tc>
          <w:tcPr>
            <w:tcW w:w="3043" w:type="pct"/>
            <w:hideMark/>
          </w:tcPr>
          <w:p w14:paraId="3589B659" w14:textId="77777777" w:rsidR="00295CB9" w:rsidRPr="005C6CB1" w:rsidRDefault="00295CB9" w:rsidP="00545A4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Trhání hlavou</w:t>
            </w:r>
          </w:p>
          <w:p w14:paraId="7F253E35" w14:textId="77777777" w:rsidR="00295CB9" w:rsidRPr="005C6CB1" w:rsidRDefault="00295CB9" w:rsidP="00545A4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Otok v místě injekčního podání</w:t>
            </w:r>
            <w:r w:rsidRPr="005C6CB1">
              <w:rPr>
                <w:iCs/>
                <w:szCs w:val="22"/>
                <w:vertAlign w:val="superscript"/>
              </w:rPr>
              <w:t>a</w:t>
            </w:r>
            <w:r w:rsidRPr="005C6CB1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bolest v místě injekčního podání</w:t>
            </w:r>
          </w:p>
          <w:p w14:paraId="52D07B34" w14:textId="77777777" w:rsidR="00295CB9" w:rsidRPr="005C6CB1" w:rsidRDefault="00295CB9" w:rsidP="00545A4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Hrabání nohou</w:t>
            </w:r>
          </w:p>
          <w:p w14:paraId="23134EC9" w14:textId="77777777" w:rsidR="00295CB9" w:rsidRPr="005C6CB1" w:rsidRDefault="00295CB9" w:rsidP="00545A4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Kopřivka</w:t>
            </w:r>
          </w:p>
          <w:p w14:paraId="36C24724" w14:textId="77777777" w:rsidR="00295CB9" w:rsidRPr="006414D3" w:rsidRDefault="00295CB9" w:rsidP="00545A4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Svědění</w:t>
            </w:r>
          </w:p>
        </w:tc>
      </w:tr>
      <w:tr w:rsidR="00295CB9" w14:paraId="158B9B51" w14:textId="77777777" w:rsidTr="00545A40">
        <w:tc>
          <w:tcPr>
            <w:tcW w:w="1957" w:type="pct"/>
          </w:tcPr>
          <w:p w14:paraId="0C6C48E0" w14:textId="77777777" w:rsidR="00295CB9" w:rsidRPr="00B41D57" w:rsidRDefault="00295CB9" w:rsidP="00545A40">
            <w:pPr>
              <w:spacing w:before="60" w:after="60"/>
              <w:rPr>
                <w:szCs w:val="22"/>
              </w:rPr>
            </w:pPr>
            <w:r w:rsidRPr="00B41D57">
              <w:lastRenderedPageBreak/>
              <w:t>Vzácné</w:t>
            </w:r>
          </w:p>
          <w:p w14:paraId="31346103" w14:textId="77777777" w:rsidR="00295CB9" w:rsidRPr="008D0F80" w:rsidRDefault="00295CB9" w:rsidP="00545A40">
            <w:pPr>
              <w:spacing w:before="60" w:after="60"/>
              <w:rPr>
                <w:szCs w:val="22"/>
                <w:highlight w:val="yellow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417A8D4D" w14:textId="77777777" w:rsidR="00295CB9" w:rsidRPr="006414D3" w:rsidRDefault="00295CB9" w:rsidP="00545A4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Nedostatečná funkce ledvin</w:t>
            </w:r>
            <w:r w:rsidRPr="005C6CB1">
              <w:rPr>
                <w:iCs/>
                <w:szCs w:val="22"/>
                <w:vertAlign w:val="superscript"/>
              </w:rPr>
              <w:t>b</w:t>
            </w:r>
          </w:p>
        </w:tc>
      </w:tr>
    </w:tbl>
    <w:p w14:paraId="27D22BD3" w14:textId="77777777" w:rsidR="00295CB9" w:rsidRPr="005C6CB1" w:rsidRDefault="00295CB9" w:rsidP="00295CB9">
      <w:pPr>
        <w:tabs>
          <w:tab w:val="clear" w:pos="567"/>
        </w:tabs>
        <w:spacing w:before="80" w:line="259" w:lineRule="auto"/>
        <w:jc w:val="both"/>
        <w:rPr>
          <w:rFonts w:eastAsia="Calibri"/>
          <w:szCs w:val="22"/>
        </w:rPr>
      </w:pPr>
      <w:r w:rsidRPr="005C6CB1">
        <w:rPr>
          <w:rFonts w:eastAsia="Calibri"/>
          <w:szCs w:val="22"/>
          <w:vertAlign w:val="superscript"/>
        </w:rPr>
        <w:t>a</w:t>
      </w:r>
      <w:r w:rsidRPr="005C6CB1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Přechodné</w:t>
      </w:r>
      <w:r w:rsidRPr="005C6CB1">
        <w:rPr>
          <w:rFonts w:eastAsia="Calibri"/>
          <w:szCs w:val="22"/>
        </w:rPr>
        <w:t>.</w:t>
      </w:r>
    </w:p>
    <w:p w14:paraId="44E7F660" w14:textId="77777777" w:rsidR="00295CB9" w:rsidRPr="005C6CB1" w:rsidRDefault="00295CB9" w:rsidP="00295CB9">
      <w:pPr>
        <w:tabs>
          <w:tab w:val="clear" w:pos="567"/>
        </w:tabs>
        <w:spacing w:before="80" w:line="259" w:lineRule="auto"/>
        <w:jc w:val="both"/>
        <w:rPr>
          <w:rFonts w:eastAsia="Calibri"/>
          <w:szCs w:val="22"/>
        </w:rPr>
      </w:pPr>
      <w:r w:rsidRPr="005C6CB1">
        <w:rPr>
          <w:rFonts w:eastAsia="Calibri"/>
          <w:szCs w:val="22"/>
          <w:vertAlign w:val="superscript"/>
        </w:rPr>
        <w:t>b</w:t>
      </w:r>
      <w:r w:rsidRPr="005C6CB1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Č</w:t>
      </w:r>
      <w:r w:rsidRPr="009E0ADC">
        <w:rPr>
          <w:szCs w:val="22"/>
        </w:rPr>
        <w:t>astěji u</w:t>
      </w:r>
      <w:r>
        <w:rPr>
          <w:szCs w:val="22"/>
        </w:rPr>
        <w:t> </w:t>
      </w:r>
      <w:r w:rsidRPr="009E0ADC">
        <w:rPr>
          <w:szCs w:val="22"/>
        </w:rPr>
        <w:t>zvířat, kterým byla souběžně podávána nesteroidní antiflogistika</w:t>
      </w:r>
      <w:r w:rsidRPr="005C6CB1">
        <w:rPr>
          <w:rFonts w:eastAsia="Calibri"/>
          <w:szCs w:val="22"/>
        </w:rPr>
        <w:t xml:space="preserve">. </w:t>
      </w:r>
      <w:r w:rsidRPr="009E0ADC">
        <w:rPr>
          <w:szCs w:val="22"/>
        </w:rPr>
        <w:t>V</w:t>
      </w:r>
      <w:r>
        <w:rPr>
          <w:szCs w:val="22"/>
        </w:rPr>
        <w:t> </w:t>
      </w:r>
      <w:r w:rsidRPr="009E0ADC">
        <w:rPr>
          <w:szCs w:val="22"/>
        </w:rPr>
        <w:t>těchto případech je vhodné zajistit doplnění tekutin a</w:t>
      </w:r>
      <w:r>
        <w:rPr>
          <w:szCs w:val="22"/>
        </w:rPr>
        <w:t> </w:t>
      </w:r>
      <w:r w:rsidRPr="009E0ADC">
        <w:rPr>
          <w:szCs w:val="22"/>
        </w:rPr>
        <w:t>monitorovat funkci ledvin</w:t>
      </w:r>
      <w:r w:rsidRPr="005C6CB1">
        <w:rPr>
          <w:rFonts w:eastAsia="Calibri"/>
          <w:szCs w:val="22"/>
        </w:rPr>
        <w:t>.</w:t>
      </w:r>
    </w:p>
    <w:p w14:paraId="11E3879C" w14:textId="77777777" w:rsidR="00295CB9" w:rsidRDefault="00295CB9" w:rsidP="00295CB9">
      <w:pPr>
        <w:tabs>
          <w:tab w:val="clear" w:pos="567"/>
        </w:tabs>
        <w:spacing w:line="240" w:lineRule="auto"/>
        <w:rPr>
          <w:szCs w:val="22"/>
        </w:rPr>
      </w:pPr>
    </w:p>
    <w:p w14:paraId="45F29FC5" w14:textId="1271EDDC" w:rsidR="00F520FE" w:rsidRDefault="001110D8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B41D57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>
        <w:t xml:space="preserve">nebo </w:t>
      </w:r>
      <w:r w:rsidRPr="00B41D57">
        <w:t>místní zástupce držitele rozhodnutí o registraci s využitím kontaktních údajů uvedených na konci této příbalové informace nebo prostřednictvím národního systému hlášení nežádoucích účinků</w:t>
      </w:r>
      <w:r>
        <w:t>:</w:t>
      </w:r>
    </w:p>
    <w:p w14:paraId="26F4FEDD" w14:textId="77777777" w:rsidR="001110D8" w:rsidRPr="002B10C4" w:rsidRDefault="001110D8" w:rsidP="001110D8">
      <w:pPr>
        <w:tabs>
          <w:tab w:val="left" w:pos="-720"/>
        </w:tabs>
        <w:suppressAutoHyphens/>
        <w:rPr>
          <w:rFonts w:cs="Arial"/>
          <w:szCs w:val="22"/>
        </w:rPr>
      </w:pPr>
      <w:r w:rsidRPr="002B10C4">
        <w:rPr>
          <w:rFonts w:cs="Arial"/>
          <w:szCs w:val="22"/>
        </w:rPr>
        <w:t xml:space="preserve">Ústav pro státní kontrolu veterinárních biopreparátů a léčiv </w:t>
      </w:r>
    </w:p>
    <w:p w14:paraId="1FE21930" w14:textId="0E996928" w:rsidR="001110D8" w:rsidRPr="002B10C4" w:rsidRDefault="001110D8" w:rsidP="001110D8">
      <w:pPr>
        <w:tabs>
          <w:tab w:val="left" w:pos="-720"/>
        </w:tabs>
        <w:suppressAutoHyphens/>
        <w:rPr>
          <w:rFonts w:cs="Arial"/>
          <w:szCs w:val="22"/>
        </w:rPr>
      </w:pPr>
      <w:r w:rsidRPr="002B10C4">
        <w:rPr>
          <w:rFonts w:cs="Arial"/>
          <w:szCs w:val="22"/>
        </w:rPr>
        <w:t xml:space="preserve">Hudcova </w:t>
      </w:r>
      <w:r w:rsidR="0054149E">
        <w:rPr>
          <w:rFonts w:cs="Arial"/>
          <w:szCs w:val="22"/>
        </w:rPr>
        <w:t>232/</w:t>
      </w:r>
      <w:proofErr w:type="gramStart"/>
      <w:r w:rsidRPr="002B10C4">
        <w:rPr>
          <w:rFonts w:cs="Arial"/>
          <w:szCs w:val="22"/>
        </w:rPr>
        <w:t>56a</w:t>
      </w:r>
      <w:proofErr w:type="gramEnd"/>
      <w:r w:rsidRPr="002B10C4">
        <w:rPr>
          <w:rFonts w:cs="Arial"/>
          <w:szCs w:val="22"/>
        </w:rPr>
        <w:t xml:space="preserve"> </w:t>
      </w:r>
    </w:p>
    <w:p w14:paraId="3FED030E" w14:textId="77777777" w:rsidR="001110D8" w:rsidRPr="002B10C4" w:rsidRDefault="001110D8" w:rsidP="001110D8">
      <w:pPr>
        <w:tabs>
          <w:tab w:val="left" w:pos="-720"/>
        </w:tabs>
        <w:suppressAutoHyphens/>
        <w:rPr>
          <w:rFonts w:cs="Arial"/>
          <w:szCs w:val="22"/>
        </w:rPr>
      </w:pPr>
      <w:r w:rsidRPr="002B10C4">
        <w:rPr>
          <w:rFonts w:cs="Arial"/>
          <w:szCs w:val="22"/>
        </w:rPr>
        <w:t>621 00 Brno</w:t>
      </w:r>
    </w:p>
    <w:p w14:paraId="029B07E8" w14:textId="0F5F5748" w:rsidR="001110D8" w:rsidRPr="002B10C4" w:rsidRDefault="0054149E" w:rsidP="001110D8">
      <w:pPr>
        <w:tabs>
          <w:tab w:val="left" w:pos="-720"/>
        </w:tabs>
        <w:suppressAutoHyphens/>
        <w:rPr>
          <w:rFonts w:cs="Arial"/>
          <w:szCs w:val="22"/>
        </w:rPr>
      </w:pPr>
      <w:r>
        <w:rPr>
          <w:rFonts w:cs="Arial"/>
          <w:szCs w:val="22"/>
        </w:rPr>
        <w:t>e-m</w:t>
      </w:r>
      <w:r w:rsidR="001110D8" w:rsidRPr="002B10C4">
        <w:rPr>
          <w:rFonts w:cs="Arial"/>
          <w:szCs w:val="22"/>
        </w:rPr>
        <w:t xml:space="preserve">ail: </w:t>
      </w:r>
      <w:hyperlink r:id="rId9" w:history="1">
        <w:r w:rsidR="001110D8" w:rsidRPr="002B10C4">
          <w:rPr>
            <w:rStyle w:val="Hypertextovodkaz"/>
            <w:rFonts w:cs="Arial"/>
            <w:szCs w:val="22"/>
          </w:rPr>
          <w:t>adr@uskvbl.cz</w:t>
        </w:r>
      </w:hyperlink>
    </w:p>
    <w:p w14:paraId="108AFE44" w14:textId="77777777" w:rsidR="001110D8" w:rsidRPr="002B10C4" w:rsidRDefault="001110D8" w:rsidP="001110D8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2B10C4">
        <w:rPr>
          <w:rFonts w:cs="Arial"/>
          <w:szCs w:val="22"/>
        </w:rPr>
        <w:t xml:space="preserve">Webové stránky: </w:t>
      </w:r>
      <w:hyperlink r:id="rId10" w:history="1">
        <w:r w:rsidRPr="002B10C4">
          <w:rPr>
            <w:rStyle w:val="Hypertextovodkaz"/>
            <w:rFonts w:cs="Arial"/>
            <w:szCs w:val="22"/>
          </w:rPr>
          <w:t>http://www.uskvbl.cz/cs/farmakovigilance</w:t>
        </w:r>
      </w:hyperlink>
    </w:p>
    <w:p w14:paraId="0A7E3647" w14:textId="77777777" w:rsidR="001110D8" w:rsidRDefault="001110D8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ECC41FB" w14:textId="77777777" w:rsidR="001110D8" w:rsidRPr="00B41D57" w:rsidRDefault="001110D8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7C387C" w14:textId="57A42A8A" w:rsidR="0020213E" w:rsidRDefault="0020213E" w:rsidP="00AC1584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I</w:t>
      </w:r>
      <w:r w:rsidR="00AC1584" w:rsidRPr="00AC1584">
        <w:rPr>
          <w:iCs/>
          <w:szCs w:val="22"/>
        </w:rPr>
        <w:t>ntramuskulární podání.</w:t>
      </w:r>
    </w:p>
    <w:p w14:paraId="27E4E1E3" w14:textId="5000D19D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1,53 mg</w:t>
      </w:r>
      <w:r w:rsidR="0054149E">
        <w:rPr>
          <w:iCs/>
          <w:szCs w:val="22"/>
        </w:rPr>
        <w:t xml:space="preserve"> </w:t>
      </w:r>
      <w:r w:rsidR="0054149E">
        <w:rPr>
          <w:szCs w:val="22"/>
        </w:rPr>
        <w:t>k</w:t>
      </w:r>
      <w:r w:rsidR="0054149E" w:rsidRPr="009E0ADC">
        <w:rPr>
          <w:szCs w:val="22"/>
        </w:rPr>
        <w:t>yselin</w:t>
      </w:r>
      <w:r w:rsidR="0054149E">
        <w:rPr>
          <w:szCs w:val="22"/>
        </w:rPr>
        <w:t>y</w:t>
      </w:r>
      <w:r w:rsidR="0054149E" w:rsidRPr="009E0ADC">
        <w:rPr>
          <w:szCs w:val="22"/>
        </w:rPr>
        <w:t xml:space="preserve"> </w:t>
      </w:r>
      <w:proofErr w:type="spellStart"/>
      <w:r w:rsidR="0054149E" w:rsidRPr="009E0ADC">
        <w:rPr>
          <w:szCs w:val="22"/>
        </w:rPr>
        <w:t>klodronov</w:t>
      </w:r>
      <w:r w:rsidR="0054149E">
        <w:rPr>
          <w:szCs w:val="22"/>
        </w:rPr>
        <w:t>é</w:t>
      </w:r>
      <w:proofErr w:type="spellEnd"/>
      <w:r w:rsidR="0054149E" w:rsidRPr="009E0ADC">
        <w:rPr>
          <w:szCs w:val="22"/>
        </w:rPr>
        <w:t xml:space="preserve"> </w:t>
      </w:r>
      <w:r w:rsidRPr="00AC1584">
        <w:rPr>
          <w:iCs/>
          <w:szCs w:val="22"/>
        </w:rPr>
        <w:t>/kg živé hmotnosti, což odpovídá 3 ml přípravku/100 kg živé hmotnosti.  </w:t>
      </w:r>
    </w:p>
    <w:p w14:paraId="12BA8A86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Maximální dávka je 765 mg kyseliny klodronové na koně (jedna 15 ml lahvička na koně &gt;500 kg). Nepřekračujte doporučenou dávku.</w:t>
      </w:r>
    </w:p>
    <w:p w14:paraId="29C70C52" w14:textId="77777777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C8B869" w14:textId="0F9E9584" w:rsidR="00AC1584" w:rsidRDefault="0020213E" w:rsidP="00A9226B">
      <w:pPr>
        <w:tabs>
          <w:tab w:val="clear" w:pos="567"/>
        </w:tabs>
        <w:spacing w:line="240" w:lineRule="auto"/>
      </w:pPr>
      <w:r w:rsidRPr="00B41D57">
        <w:t>Pro zajištění správného dávkování je třeba co nejpřesněji stanovit živou hmotnost.</w:t>
      </w:r>
    </w:p>
    <w:p w14:paraId="348569E8" w14:textId="77777777" w:rsidR="0020213E" w:rsidRDefault="0020213E" w:rsidP="00A9226B">
      <w:pPr>
        <w:tabs>
          <w:tab w:val="clear" w:pos="567"/>
        </w:tabs>
        <w:spacing w:line="240" w:lineRule="auto"/>
      </w:pPr>
    </w:p>
    <w:p w14:paraId="6E1E3A1C" w14:textId="77777777" w:rsidR="0020213E" w:rsidRPr="00B41D57" w:rsidRDefault="0020213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0B6E165F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 xml:space="preserve">Celkový objem rovnoměrně rozdělte k podání do dvou až tří různých míst injekčního podání. </w:t>
      </w:r>
    </w:p>
    <w:p w14:paraId="208153DD" w14:textId="77777777" w:rsidR="001B26EB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0DEA44C" w14:textId="77777777" w:rsidR="00AC1584" w:rsidRPr="00B41D57" w:rsidRDefault="00AC158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6DF5477" w14:textId="0BA3C98B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Maso: Bez ochranných lhůt.</w:t>
      </w:r>
    </w:p>
    <w:p w14:paraId="10B812A1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Nepoužívat u zvířat, jejichž mléko je určeno pro lidskou spotřebu.</w:t>
      </w: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9CEC04A" w14:textId="77777777" w:rsidR="00AC1584" w:rsidRPr="00B41D57" w:rsidRDefault="00AC158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5A62252" w14:textId="4A7659F0" w:rsidR="00AC1584" w:rsidRDefault="0020213E" w:rsidP="00AC1584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Uchovávejte</w:t>
      </w:r>
      <w:r w:rsidRPr="00AC1584">
        <w:rPr>
          <w:iCs/>
          <w:szCs w:val="22"/>
        </w:rPr>
        <w:t xml:space="preserve"> </w:t>
      </w:r>
      <w:r w:rsidR="00AC1584" w:rsidRPr="00AC1584">
        <w:rPr>
          <w:iCs/>
          <w:szCs w:val="22"/>
        </w:rPr>
        <w:t>mimo dohled a dosah dětí.</w:t>
      </w:r>
    </w:p>
    <w:p w14:paraId="64DE3A66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17F705D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Uchovávejte při teplotě do 30 °C.</w:t>
      </w:r>
    </w:p>
    <w:p w14:paraId="4106920D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Uchovávejte lahvičku v krabičce.</w:t>
      </w:r>
    </w:p>
    <w:p w14:paraId="341DD6B6" w14:textId="3965273A" w:rsidR="00AC1584" w:rsidRPr="00AC1584" w:rsidRDefault="00AC1584" w:rsidP="00AC1584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 xml:space="preserve">Nepoužívejte tento veterinární léčivý přípravek po uplynutí doby použitelnosti uvedené na krabičce a injekční lahvičce po </w:t>
      </w:r>
      <w:r w:rsidR="0020213E">
        <w:rPr>
          <w:iCs/>
          <w:szCs w:val="22"/>
        </w:rPr>
        <w:t>Exp</w:t>
      </w:r>
      <w:r w:rsidRPr="00AC1584">
        <w:rPr>
          <w:iCs/>
          <w:szCs w:val="22"/>
        </w:rPr>
        <w:t>. Doba použitelnosti končí posledním dnem v uvedeném měsíci.</w:t>
      </w:r>
    </w:p>
    <w:p w14:paraId="0692670F" w14:textId="77777777" w:rsidR="004C504C" w:rsidRPr="00AC1584" w:rsidRDefault="004C504C" w:rsidP="00AC158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610F6F9" w14:textId="77777777" w:rsidR="0020213E" w:rsidRDefault="0020213E" w:rsidP="00AC1584">
      <w:pPr>
        <w:tabs>
          <w:tab w:val="clear" w:pos="567"/>
        </w:tabs>
        <w:spacing w:line="240" w:lineRule="auto"/>
      </w:pPr>
      <w:r w:rsidRPr="00B41D57">
        <w:t>Doba použitelnosti po prvním otevření vnitřního obalu:</w:t>
      </w:r>
      <w:r>
        <w:t xml:space="preserve"> spotřebujte ihned.</w:t>
      </w:r>
    </w:p>
    <w:p w14:paraId="6BF73524" w14:textId="2BDEF5E2" w:rsidR="0043320A" w:rsidRDefault="00AC1584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lastRenderedPageBreak/>
        <w:t>Pouze k jednorázovému použití; jakýkoli nepoužitý přípravek zlikvidujte.</w:t>
      </w:r>
    </w:p>
    <w:p w14:paraId="30A4BB02" w14:textId="77777777" w:rsidR="00AC1584" w:rsidRPr="00AC1584" w:rsidRDefault="00AC158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BE9B45" w14:textId="4E33F251" w:rsidR="00C114FF" w:rsidRPr="00B41D57" w:rsidRDefault="00C605FD" w:rsidP="00E51AFB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E51AF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4ABE099" w14:textId="1E5EC0C3" w:rsidR="0020213E" w:rsidRPr="00B41D57" w:rsidRDefault="0020213E" w:rsidP="00E51A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30D42C5E" w14:textId="77777777" w:rsidR="0020213E" w:rsidRPr="00B41D57" w:rsidRDefault="0020213E" w:rsidP="00E51A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CF0E17" w14:textId="77777777" w:rsidR="0020213E" w:rsidRPr="00B41D57" w:rsidRDefault="0020213E" w:rsidP="00E51AFB">
      <w:pPr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25C7839" w14:textId="77777777" w:rsidR="0020213E" w:rsidRPr="00B41D57" w:rsidRDefault="0020213E" w:rsidP="00E51A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DB9A21" w14:textId="238BAC95" w:rsidR="00DB468A" w:rsidRDefault="0020213E" w:rsidP="0031461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t>O </w:t>
      </w:r>
      <w:r w:rsidRPr="00B41D57">
        <w:t>možnostech likvidace nepotřebných léčivých přípravků se poraďte s vaším veterinárním lékařem</w:t>
      </w:r>
      <w:r>
        <w:t xml:space="preserve"> </w:t>
      </w:r>
      <w:r w:rsidRPr="00B41D57">
        <w:t>nebo lékárníkem.</w:t>
      </w:r>
    </w:p>
    <w:p w14:paraId="3B1D5FC1" w14:textId="77777777" w:rsidR="00AC1584" w:rsidRPr="00AC1584" w:rsidRDefault="00AC1584" w:rsidP="00DB468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B48E2D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0538AB4A" w:rsidR="00DB468A" w:rsidRDefault="00AC1584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Veterinární léčivý přípravek je vydáván pouze na předpis.</w:t>
      </w:r>
    </w:p>
    <w:p w14:paraId="6C6EDEF6" w14:textId="77777777" w:rsidR="00AC1584" w:rsidRPr="00AC1584" w:rsidRDefault="00AC158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A2F65F6" w14:textId="723868F7" w:rsidR="00DB468A" w:rsidRDefault="00C605FD" w:rsidP="0031461B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91FC2CA" w14:textId="77777777" w:rsidR="0031461B" w:rsidRDefault="0031461B" w:rsidP="0031461B">
      <w:pPr>
        <w:pStyle w:val="Style1"/>
      </w:pPr>
    </w:p>
    <w:p w14:paraId="3D1F3B72" w14:textId="5280B159" w:rsidR="0031461B" w:rsidRPr="00B41D57" w:rsidRDefault="002B6E4F" w:rsidP="002B6E4F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>96/088/15-C</w:t>
      </w:r>
      <w:bookmarkStart w:id="0" w:name="_GoBack"/>
      <w:bookmarkEnd w:id="0"/>
    </w:p>
    <w:p w14:paraId="1E0A47F2" w14:textId="40688810" w:rsidR="00DB468A" w:rsidRPr="00AC1584" w:rsidRDefault="00AC1584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Jedna 15ml injekční lahvička v </w:t>
      </w:r>
      <w:r w:rsidR="00331DE5">
        <w:rPr>
          <w:iCs/>
          <w:szCs w:val="22"/>
        </w:rPr>
        <w:t>kartónové</w:t>
      </w:r>
      <w:r w:rsidR="00331DE5" w:rsidRPr="00AC1584">
        <w:rPr>
          <w:iCs/>
          <w:szCs w:val="22"/>
        </w:rPr>
        <w:t xml:space="preserve"> </w:t>
      </w:r>
      <w:r w:rsidRPr="00AC1584">
        <w:rPr>
          <w:iCs/>
          <w:szCs w:val="22"/>
        </w:rPr>
        <w:t>krabičce.</w:t>
      </w:r>
    </w:p>
    <w:p w14:paraId="02FEC286" w14:textId="77777777" w:rsidR="00AC1584" w:rsidRPr="00B41D57" w:rsidRDefault="00AC158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18C62E" w14:textId="000519C3" w:rsidR="00EF7EE6" w:rsidRDefault="0054149E" w:rsidP="00AC15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03/2025</w:t>
      </w:r>
    </w:p>
    <w:p w14:paraId="5EB9F6C0" w14:textId="77777777" w:rsidR="0031461B" w:rsidRPr="00AC1584" w:rsidRDefault="0031461B" w:rsidP="00AC158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E53636E" w14:textId="1D24EA95" w:rsidR="00331DE5" w:rsidRDefault="00331DE5" w:rsidP="00331DE5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2C481200" w14:textId="63E7427E" w:rsidR="0054149E" w:rsidRDefault="0054149E" w:rsidP="00331DE5">
      <w:pPr>
        <w:tabs>
          <w:tab w:val="clear" w:pos="567"/>
        </w:tabs>
        <w:spacing w:line="240" w:lineRule="auto"/>
        <w:rPr>
          <w:szCs w:val="22"/>
        </w:rPr>
      </w:pPr>
    </w:p>
    <w:p w14:paraId="4D1C4E0E" w14:textId="00C8A141" w:rsidR="00AC1584" w:rsidRDefault="0054149E" w:rsidP="0031461B">
      <w:pPr>
        <w:spacing w:line="240" w:lineRule="auto"/>
        <w:jc w:val="both"/>
        <w:rPr>
          <w:iCs/>
          <w:szCs w:val="22"/>
        </w:rPr>
      </w:pPr>
      <w:bookmarkStart w:id="1" w:name="_Hlk148432335"/>
      <w:r w:rsidRPr="00D52981">
        <w:t>Podrobné informace o tomto veterinárním léčivém přípravku naleznete také v národní databázi (</w:t>
      </w:r>
      <w:hyperlink r:id="rId12" w:history="1">
        <w:r w:rsidRPr="00D52981">
          <w:rPr>
            <w:rStyle w:val="Hypertextovodkaz"/>
          </w:rPr>
          <w:t>https://www.uskvbl.cz</w:t>
        </w:r>
      </w:hyperlink>
      <w:r w:rsidRPr="00D52981">
        <w:t>).</w:t>
      </w:r>
      <w:bookmarkEnd w:id="1"/>
    </w:p>
    <w:p w14:paraId="2FB3383C" w14:textId="77777777" w:rsidR="00331DE5" w:rsidRPr="00AC1584" w:rsidRDefault="00331DE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4C9272A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0809F354" w:rsidR="00DB468A" w:rsidRPr="00B41D57" w:rsidRDefault="00C605FD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 xml:space="preserve">Držitel rozhodnutí o registraci </w:t>
      </w:r>
    </w:p>
    <w:bookmarkEnd w:id="2"/>
    <w:p w14:paraId="0C17088B" w14:textId="0D33CB31" w:rsidR="00AC1584" w:rsidRPr="00AC1584" w:rsidRDefault="00AC1584" w:rsidP="00AC1584">
      <w:pPr>
        <w:tabs>
          <w:tab w:val="clear" w:pos="567"/>
        </w:tabs>
        <w:spacing w:line="240" w:lineRule="auto"/>
        <w:rPr>
          <w:szCs w:val="22"/>
        </w:rPr>
      </w:pPr>
      <w:r w:rsidRPr="00AC1584">
        <w:rPr>
          <w:szCs w:val="22"/>
        </w:rPr>
        <w:t>Dechra Regulatory B.V.</w:t>
      </w:r>
    </w:p>
    <w:p w14:paraId="6AAF6927" w14:textId="7CBB5E3E" w:rsidR="00AC1584" w:rsidRPr="00AC1584" w:rsidRDefault="00AC1584" w:rsidP="00AC1584">
      <w:pPr>
        <w:tabs>
          <w:tab w:val="clear" w:pos="567"/>
        </w:tabs>
        <w:spacing w:line="240" w:lineRule="auto"/>
        <w:rPr>
          <w:szCs w:val="22"/>
        </w:rPr>
      </w:pPr>
      <w:r w:rsidRPr="00AC1584">
        <w:rPr>
          <w:szCs w:val="22"/>
        </w:rPr>
        <w:t>Handelsweg 25</w:t>
      </w:r>
    </w:p>
    <w:p w14:paraId="6661E0E5" w14:textId="26FCBE87" w:rsidR="00AC1584" w:rsidRPr="00AC1584" w:rsidRDefault="00AC1584" w:rsidP="00AC1584">
      <w:pPr>
        <w:tabs>
          <w:tab w:val="clear" w:pos="567"/>
        </w:tabs>
        <w:spacing w:line="240" w:lineRule="auto"/>
        <w:rPr>
          <w:szCs w:val="22"/>
        </w:rPr>
      </w:pPr>
      <w:r w:rsidRPr="00AC1584">
        <w:rPr>
          <w:szCs w:val="22"/>
        </w:rPr>
        <w:t>5531 AE Bladel</w:t>
      </w:r>
    </w:p>
    <w:p w14:paraId="53FDA854" w14:textId="5458537D" w:rsidR="00AC1584" w:rsidRPr="00AC1584" w:rsidRDefault="00AC1584" w:rsidP="00AC1584">
      <w:pPr>
        <w:tabs>
          <w:tab w:val="clear" w:pos="567"/>
        </w:tabs>
        <w:spacing w:line="240" w:lineRule="auto"/>
        <w:rPr>
          <w:szCs w:val="22"/>
        </w:rPr>
      </w:pPr>
      <w:r w:rsidRPr="00AC1584">
        <w:rPr>
          <w:szCs w:val="22"/>
        </w:rPr>
        <w:t>Nizozemsko</w:t>
      </w:r>
    </w:p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B41D57" w:rsidRDefault="00C605FD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11E02271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szCs w:val="22"/>
        </w:rPr>
      </w:pPr>
      <w:r w:rsidRPr="00AC1584">
        <w:rPr>
          <w:szCs w:val="22"/>
        </w:rPr>
        <w:t>Eurovet Animal Health B.V</w:t>
      </w:r>
    </w:p>
    <w:p w14:paraId="5E961374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szCs w:val="22"/>
        </w:rPr>
      </w:pPr>
      <w:r w:rsidRPr="00AC1584">
        <w:rPr>
          <w:szCs w:val="22"/>
        </w:rPr>
        <w:t>Handelsweg 25</w:t>
      </w:r>
    </w:p>
    <w:p w14:paraId="3E753124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szCs w:val="22"/>
        </w:rPr>
      </w:pPr>
      <w:r w:rsidRPr="00AC1584">
        <w:rPr>
          <w:szCs w:val="22"/>
        </w:rPr>
        <w:t>5531 AE Bladel</w:t>
      </w:r>
    </w:p>
    <w:p w14:paraId="30EB106A" w14:textId="77777777" w:rsidR="00AC1584" w:rsidRPr="00AC1584" w:rsidRDefault="00AC1584" w:rsidP="00AC1584">
      <w:pPr>
        <w:tabs>
          <w:tab w:val="clear" w:pos="567"/>
        </w:tabs>
        <w:spacing w:line="240" w:lineRule="auto"/>
        <w:rPr>
          <w:szCs w:val="22"/>
        </w:rPr>
      </w:pPr>
      <w:r w:rsidRPr="00AC1584">
        <w:rPr>
          <w:szCs w:val="22"/>
        </w:rPr>
        <w:t>Nizozemsko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F99BC68" w14:textId="31D88695" w:rsidR="003841FC" w:rsidRPr="00B41D57" w:rsidRDefault="00C605FD" w:rsidP="0018657D">
      <w:pPr>
        <w:pStyle w:val="Style4"/>
      </w:pPr>
      <w:bookmarkStart w:id="3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3"/>
    <w:p w14:paraId="26646168" w14:textId="77777777" w:rsidR="00EC4D1D" w:rsidRPr="00EC4D1D" w:rsidRDefault="00EC4D1D" w:rsidP="00EC4D1D">
      <w:pPr>
        <w:tabs>
          <w:tab w:val="clear" w:pos="567"/>
          <w:tab w:val="left" w:pos="0"/>
        </w:tabs>
        <w:rPr>
          <w:bCs/>
          <w:szCs w:val="22"/>
          <w:lang w:val="en-GB"/>
        </w:rPr>
      </w:pPr>
      <w:proofErr w:type="spellStart"/>
      <w:r w:rsidRPr="00EC4D1D">
        <w:rPr>
          <w:bCs/>
          <w:szCs w:val="22"/>
          <w:lang w:val="en-GB"/>
        </w:rPr>
        <w:t>Cymedica</w:t>
      </w:r>
      <w:proofErr w:type="spellEnd"/>
      <w:r w:rsidRPr="00EC4D1D">
        <w:rPr>
          <w:bCs/>
          <w:szCs w:val="22"/>
          <w:lang w:val="en-GB"/>
        </w:rPr>
        <w:t xml:space="preserve">, </w:t>
      </w:r>
      <w:proofErr w:type="spellStart"/>
      <w:r w:rsidRPr="00EC4D1D">
        <w:rPr>
          <w:bCs/>
          <w:szCs w:val="22"/>
          <w:lang w:val="en-GB"/>
        </w:rPr>
        <w:t>spol</w:t>
      </w:r>
      <w:proofErr w:type="spellEnd"/>
      <w:r w:rsidRPr="00EC4D1D">
        <w:rPr>
          <w:bCs/>
          <w:szCs w:val="22"/>
          <w:lang w:val="en-GB"/>
        </w:rPr>
        <w:t xml:space="preserve">. s </w:t>
      </w:r>
      <w:proofErr w:type="spellStart"/>
      <w:r w:rsidRPr="00EC4D1D">
        <w:rPr>
          <w:bCs/>
          <w:szCs w:val="22"/>
          <w:lang w:val="en-GB"/>
        </w:rPr>
        <w:t>r.o</w:t>
      </w:r>
      <w:proofErr w:type="spellEnd"/>
      <w:r w:rsidRPr="00EC4D1D">
        <w:rPr>
          <w:bCs/>
          <w:szCs w:val="22"/>
          <w:lang w:val="en-GB"/>
        </w:rPr>
        <w:t xml:space="preserve">., </w:t>
      </w:r>
    </w:p>
    <w:p w14:paraId="5B6BAB05" w14:textId="77777777" w:rsidR="008B6470" w:rsidRDefault="00EC4D1D" w:rsidP="00EC4D1D">
      <w:pPr>
        <w:tabs>
          <w:tab w:val="clear" w:pos="567"/>
          <w:tab w:val="left" w:pos="0"/>
        </w:tabs>
        <w:rPr>
          <w:bCs/>
          <w:szCs w:val="22"/>
          <w:lang w:val="en-GB"/>
        </w:rPr>
      </w:pPr>
      <w:r w:rsidRPr="00EC4D1D">
        <w:rPr>
          <w:bCs/>
          <w:szCs w:val="22"/>
          <w:lang w:val="en-GB"/>
        </w:rPr>
        <w:t xml:space="preserve">Pod </w:t>
      </w:r>
      <w:proofErr w:type="spellStart"/>
      <w:r w:rsidRPr="00EC4D1D">
        <w:rPr>
          <w:bCs/>
          <w:szCs w:val="22"/>
          <w:lang w:val="en-GB"/>
        </w:rPr>
        <w:t>Nádražím</w:t>
      </w:r>
      <w:proofErr w:type="spellEnd"/>
      <w:r w:rsidRPr="00EC4D1D">
        <w:rPr>
          <w:bCs/>
          <w:szCs w:val="22"/>
          <w:lang w:val="en-GB"/>
        </w:rPr>
        <w:t xml:space="preserve"> 308/24, </w:t>
      </w:r>
    </w:p>
    <w:p w14:paraId="73F9879A" w14:textId="1C2F3E09" w:rsidR="00EC4D1D" w:rsidRPr="00EC4D1D" w:rsidRDefault="00EC4D1D" w:rsidP="00EC4D1D">
      <w:pPr>
        <w:tabs>
          <w:tab w:val="clear" w:pos="567"/>
          <w:tab w:val="left" w:pos="0"/>
        </w:tabs>
        <w:rPr>
          <w:bCs/>
          <w:szCs w:val="22"/>
          <w:lang w:val="en-GB"/>
        </w:rPr>
      </w:pPr>
      <w:r w:rsidRPr="00EC4D1D">
        <w:rPr>
          <w:bCs/>
          <w:szCs w:val="22"/>
          <w:lang w:val="en-GB"/>
        </w:rPr>
        <w:t xml:space="preserve">268 01 Hořovice, </w:t>
      </w:r>
    </w:p>
    <w:p w14:paraId="46D42152" w14:textId="77777777" w:rsidR="00EC4D1D" w:rsidRPr="00EC4D1D" w:rsidRDefault="00EC4D1D" w:rsidP="00EC4D1D">
      <w:pPr>
        <w:tabs>
          <w:tab w:val="clear" w:pos="567"/>
          <w:tab w:val="left" w:pos="0"/>
        </w:tabs>
        <w:rPr>
          <w:bCs/>
          <w:szCs w:val="22"/>
          <w:lang w:val="en-GB"/>
        </w:rPr>
      </w:pPr>
      <w:proofErr w:type="spellStart"/>
      <w:r w:rsidRPr="00EC4D1D">
        <w:rPr>
          <w:bCs/>
          <w:szCs w:val="22"/>
          <w:lang w:val="en-GB"/>
        </w:rPr>
        <w:t>Česká</w:t>
      </w:r>
      <w:proofErr w:type="spellEnd"/>
      <w:r w:rsidRPr="00EC4D1D">
        <w:rPr>
          <w:bCs/>
          <w:szCs w:val="22"/>
          <w:lang w:val="en-GB"/>
        </w:rPr>
        <w:t xml:space="preserve"> </w:t>
      </w:r>
      <w:proofErr w:type="spellStart"/>
      <w:r w:rsidRPr="00EC4D1D">
        <w:rPr>
          <w:bCs/>
          <w:szCs w:val="22"/>
          <w:lang w:val="en-GB"/>
        </w:rPr>
        <w:t>republika</w:t>
      </w:r>
      <w:proofErr w:type="spellEnd"/>
      <w:r w:rsidRPr="00EC4D1D">
        <w:rPr>
          <w:bCs/>
          <w:szCs w:val="22"/>
          <w:lang w:val="en-GB"/>
        </w:rPr>
        <w:t xml:space="preserve">, </w:t>
      </w:r>
    </w:p>
    <w:p w14:paraId="530F22BA" w14:textId="77777777" w:rsidR="00EC4D1D" w:rsidRPr="00EC4D1D" w:rsidRDefault="00EC4D1D" w:rsidP="00EC4D1D">
      <w:pPr>
        <w:tabs>
          <w:tab w:val="clear" w:pos="567"/>
          <w:tab w:val="left" w:pos="0"/>
        </w:tabs>
        <w:rPr>
          <w:bCs/>
          <w:szCs w:val="22"/>
          <w:lang w:val="en-GB"/>
        </w:rPr>
      </w:pPr>
      <w:r w:rsidRPr="00EC4D1D">
        <w:rPr>
          <w:bCs/>
          <w:szCs w:val="22"/>
          <w:lang w:val="en-GB"/>
        </w:rPr>
        <w:t>+420 311 706 211</w:t>
      </w:r>
    </w:p>
    <w:p w14:paraId="07DDC417" w14:textId="0A18ECC4" w:rsidR="003841FC" w:rsidRPr="00B41D57" w:rsidRDefault="003841FC" w:rsidP="00262B72">
      <w:pPr>
        <w:tabs>
          <w:tab w:val="clear" w:pos="567"/>
          <w:tab w:val="left" w:pos="0"/>
        </w:tabs>
        <w:rPr>
          <w:bCs/>
          <w:szCs w:val="22"/>
        </w:rPr>
      </w:pPr>
    </w:p>
    <w:p w14:paraId="091D6263" w14:textId="41A2DF92" w:rsidR="00AC1584" w:rsidRDefault="00AC1584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AC1584">
        <w:rPr>
          <w:iCs/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2067C4B3" w14:textId="77777777" w:rsidR="0031461B" w:rsidRPr="00B41D57" w:rsidRDefault="0031461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30CF2E55" w:rsidR="00BB2539" w:rsidRPr="00B41D57" w:rsidRDefault="00C605FD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F24F0" w14:textId="77777777" w:rsidR="00ED5602" w:rsidRDefault="00ED5602">
      <w:pPr>
        <w:spacing w:line="240" w:lineRule="auto"/>
      </w:pPr>
      <w:r>
        <w:separator/>
      </w:r>
    </w:p>
  </w:endnote>
  <w:endnote w:type="continuationSeparator" w:id="0">
    <w:p w14:paraId="52408353" w14:textId="77777777" w:rsidR="00ED5602" w:rsidRDefault="00ED5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6B42" w14:textId="77777777" w:rsidR="00ED5602" w:rsidRDefault="00ED5602">
      <w:pPr>
        <w:spacing w:line="240" w:lineRule="auto"/>
      </w:pPr>
      <w:r>
        <w:separator/>
      </w:r>
    </w:p>
  </w:footnote>
  <w:footnote w:type="continuationSeparator" w:id="0">
    <w:p w14:paraId="432BC320" w14:textId="77777777" w:rsidR="00ED5602" w:rsidRDefault="00ED5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A1812" w14:textId="7AE09880" w:rsidR="00873BC4" w:rsidRDefault="00873B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D68"/>
    <w:rsid w:val="000E705A"/>
    <w:rsid w:val="000F38DA"/>
    <w:rsid w:val="000F5822"/>
    <w:rsid w:val="000F796B"/>
    <w:rsid w:val="0010031E"/>
    <w:rsid w:val="001012EB"/>
    <w:rsid w:val="00102F3C"/>
    <w:rsid w:val="001078D1"/>
    <w:rsid w:val="001110D8"/>
    <w:rsid w:val="00111185"/>
    <w:rsid w:val="001150C4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3100"/>
    <w:rsid w:val="00174721"/>
    <w:rsid w:val="00175264"/>
    <w:rsid w:val="001803D2"/>
    <w:rsid w:val="0018228B"/>
    <w:rsid w:val="001846B7"/>
    <w:rsid w:val="00185B50"/>
    <w:rsid w:val="0018625C"/>
    <w:rsid w:val="00186508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4121"/>
    <w:rsid w:val="001C5288"/>
    <w:rsid w:val="001C5B03"/>
    <w:rsid w:val="001C73E9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13E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2B72"/>
    <w:rsid w:val="00265656"/>
    <w:rsid w:val="00265E77"/>
    <w:rsid w:val="00266155"/>
    <w:rsid w:val="0027270B"/>
    <w:rsid w:val="00272B36"/>
    <w:rsid w:val="00274D17"/>
    <w:rsid w:val="002751C0"/>
    <w:rsid w:val="00282E7B"/>
    <w:rsid w:val="002838C8"/>
    <w:rsid w:val="00290805"/>
    <w:rsid w:val="00290C2A"/>
    <w:rsid w:val="002931DD"/>
    <w:rsid w:val="00295140"/>
    <w:rsid w:val="00295CB9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6E4F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16AA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461B"/>
    <w:rsid w:val="00316E87"/>
    <w:rsid w:val="0032260F"/>
    <w:rsid w:val="0032453E"/>
    <w:rsid w:val="00325053"/>
    <w:rsid w:val="003256AC"/>
    <w:rsid w:val="00330CC1"/>
    <w:rsid w:val="0033129D"/>
    <w:rsid w:val="00331DE5"/>
    <w:rsid w:val="003320ED"/>
    <w:rsid w:val="0033480E"/>
    <w:rsid w:val="00337123"/>
    <w:rsid w:val="00341866"/>
    <w:rsid w:val="00342C0C"/>
    <w:rsid w:val="00344A56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912"/>
    <w:rsid w:val="00407C22"/>
    <w:rsid w:val="00412BBE"/>
    <w:rsid w:val="00414B20"/>
    <w:rsid w:val="0041628A"/>
    <w:rsid w:val="00417DE3"/>
    <w:rsid w:val="00420850"/>
    <w:rsid w:val="00422A2B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232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653F"/>
    <w:rsid w:val="004A005B"/>
    <w:rsid w:val="004A1BD5"/>
    <w:rsid w:val="004A4AF0"/>
    <w:rsid w:val="004A61E1"/>
    <w:rsid w:val="004B0E34"/>
    <w:rsid w:val="004B1A75"/>
    <w:rsid w:val="004B2344"/>
    <w:rsid w:val="004B5797"/>
    <w:rsid w:val="004B5DDC"/>
    <w:rsid w:val="004B798E"/>
    <w:rsid w:val="004C0568"/>
    <w:rsid w:val="004C2ABD"/>
    <w:rsid w:val="004C504C"/>
    <w:rsid w:val="004C5F62"/>
    <w:rsid w:val="004D2601"/>
    <w:rsid w:val="004D3E58"/>
    <w:rsid w:val="004D6746"/>
    <w:rsid w:val="004D767B"/>
    <w:rsid w:val="004E0F32"/>
    <w:rsid w:val="004E2038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149E"/>
    <w:rsid w:val="00542012"/>
    <w:rsid w:val="005435CE"/>
    <w:rsid w:val="00543DF5"/>
    <w:rsid w:val="00544936"/>
    <w:rsid w:val="00545A61"/>
    <w:rsid w:val="0055260D"/>
    <w:rsid w:val="00555422"/>
    <w:rsid w:val="00555810"/>
    <w:rsid w:val="00562715"/>
    <w:rsid w:val="00562DCA"/>
    <w:rsid w:val="00564D6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2958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27E1"/>
    <w:rsid w:val="008334BF"/>
    <w:rsid w:val="00836B8C"/>
    <w:rsid w:val="00836F7F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3BC4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6470"/>
    <w:rsid w:val="008C261B"/>
    <w:rsid w:val="008C2B29"/>
    <w:rsid w:val="008C4FCA"/>
    <w:rsid w:val="008C7882"/>
    <w:rsid w:val="008C7CE5"/>
    <w:rsid w:val="008D2261"/>
    <w:rsid w:val="008D2CD3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5D1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AA7"/>
    <w:rsid w:val="009D7AD7"/>
    <w:rsid w:val="009E0ADC"/>
    <w:rsid w:val="009E24B7"/>
    <w:rsid w:val="009E2C00"/>
    <w:rsid w:val="009E49AD"/>
    <w:rsid w:val="009E4CC5"/>
    <w:rsid w:val="009E66FE"/>
    <w:rsid w:val="009E70F4"/>
    <w:rsid w:val="009E72A3"/>
    <w:rsid w:val="009F1AD2"/>
    <w:rsid w:val="009F2FA3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4F04"/>
    <w:rsid w:val="00A60351"/>
    <w:rsid w:val="00A61C6D"/>
    <w:rsid w:val="00A63015"/>
    <w:rsid w:val="00A6387B"/>
    <w:rsid w:val="00A6482F"/>
    <w:rsid w:val="00A66254"/>
    <w:rsid w:val="00A678B4"/>
    <w:rsid w:val="00A704A3"/>
    <w:rsid w:val="00A711AE"/>
    <w:rsid w:val="00A75E23"/>
    <w:rsid w:val="00A82AA0"/>
    <w:rsid w:val="00A82F8A"/>
    <w:rsid w:val="00A84610"/>
    <w:rsid w:val="00A84622"/>
    <w:rsid w:val="00A84BF0"/>
    <w:rsid w:val="00A84EE2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1584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0A52"/>
    <w:rsid w:val="00B81C95"/>
    <w:rsid w:val="00B82330"/>
    <w:rsid w:val="00B82ED4"/>
    <w:rsid w:val="00B8424F"/>
    <w:rsid w:val="00B86896"/>
    <w:rsid w:val="00B875A6"/>
    <w:rsid w:val="00B92BAB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6049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62FF"/>
    <w:rsid w:val="00CF069C"/>
    <w:rsid w:val="00CF0DFF"/>
    <w:rsid w:val="00CF5DCA"/>
    <w:rsid w:val="00D028A9"/>
    <w:rsid w:val="00D0359D"/>
    <w:rsid w:val="00D04DED"/>
    <w:rsid w:val="00D06FFC"/>
    <w:rsid w:val="00D1089A"/>
    <w:rsid w:val="00D116BD"/>
    <w:rsid w:val="00D16FE0"/>
    <w:rsid w:val="00D2001A"/>
    <w:rsid w:val="00D20684"/>
    <w:rsid w:val="00D26B62"/>
    <w:rsid w:val="00D3193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1AFB"/>
    <w:rsid w:val="00E56CBB"/>
    <w:rsid w:val="00E579A6"/>
    <w:rsid w:val="00E61950"/>
    <w:rsid w:val="00E61E51"/>
    <w:rsid w:val="00E6552A"/>
    <w:rsid w:val="00E65731"/>
    <w:rsid w:val="00E6707D"/>
    <w:rsid w:val="00E70337"/>
    <w:rsid w:val="00E708CE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8CD"/>
    <w:rsid w:val="00E86CEE"/>
    <w:rsid w:val="00E935AF"/>
    <w:rsid w:val="00EB0E20"/>
    <w:rsid w:val="00EB1682"/>
    <w:rsid w:val="00EB1A80"/>
    <w:rsid w:val="00EB457B"/>
    <w:rsid w:val="00EB5A35"/>
    <w:rsid w:val="00EC27E1"/>
    <w:rsid w:val="00EC3E4B"/>
    <w:rsid w:val="00EC47C4"/>
    <w:rsid w:val="00EC4D1D"/>
    <w:rsid w:val="00EC4F3A"/>
    <w:rsid w:val="00EC5045"/>
    <w:rsid w:val="00EC5E74"/>
    <w:rsid w:val="00ED5602"/>
    <w:rsid w:val="00ED594D"/>
    <w:rsid w:val="00EE1690"/>
    <w:rsid w:val="00EE36E1"/>
    <w:rsid w:val="00EE6228"/>
    <w:rsid w:val="00EE7742"/>
    <w:rsid w:val="00EE7AC7"/>
    <w:rsid w:val="00EE7B3F"/>
    <w:rsid w:val="00EF2247"/>
    <w:rsid w:val="00EF3A8A"/>
    <w:rsid w:val="00EF7EE6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26A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3494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F53D3-DDDA-4EA3-95F8-A7B8BC45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1235</Words>
  <Characters>7288</Characters>
  <Application>Microsoft Office Word</Application>
  <DocSecurity>0</DocSecurity>
  <Lines>60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Obrovská Iveta</cp:lastModifiedBy>
  <cp:revision>16</cp:revision>
  <cp:lastPrinted>2025-03-17T12:15:00Z</cp:lastPrinted>
  <dcterms:created xsi:type="dcterms:W3CDTF">2025-01-03T10:53:00Z</dcterms:created>
  <dcterms:modified xsi:type="dcterms:W3CDTF">2025-03-27T16:32:00Z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