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AA6" w:rsidRDefault="00135AA6" w:rsidP="003D148A">
      <w:pPr>
        <w:spacing w:line="276" w:lineRule="auto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bookmark0"/>
    </w:p>
    <w:p w:rsidR="001A5FCA" w:rsidRPr="00FA628C" w:rsidRDefault="001A5FCA" w:rsidP="003D148A">
      <w:pPr>
        <w:spacing w:line="276" w:lineRule="auto"/>
        <w:outlineLvl w:val="0"/>
        <w:rPr>
          <w:rFonts w:asciiTheme="minorHAnsi" w:hAnsiTheme="minorHAnsi" w:cstheme="minorHAnsi"/>
          <w:b/>
          <w:lang w:val="de-DE" w:eastAsia="de-DE" w:bidi="de-DE"/>
        </w:rPr>
      </w:pPr>
      <w:r w:rsidRPr="00FA628C">
        <w:rPr>
          <w:rFonts w:asciiTheme="minorHAnsi" w:eastAsia="Arial Narrow" w:hAnsiTheme="minorHAnsi" w:cstheme="minorHAnsi"/>
          <w:b/>
          <w:lang w:bidi="cs-CZ"/>
        </w:rPr>
        <w:t xml:space="preserve">Souprava </w:t>
      </w:r>
      <w:proofErr w:type="spellStart"/>
      <w:r w:rsidRPr="00FA628C">
        <w:rPr>
          <w:rFonts w:asciiTheme="minorHAnsi" w:eastAsia="Arial Narrow" w:hAnsiTheme="minorHAnsi" w:cstheme="minorHAnsi"/>
          <w:b/>
          <w:lang w:bidi="cs-CZ"/>
        </w:rPr>
        <w:t>VetMAX</w:t>
      </w:r>
      <w:proofErr w:type="spellEnd"/>
      <w:r w:rsidRPr="00FA628C">
        <w:rPr>
          <w:rFonts w:asciiTheme="minorHAnsi" w:eastAsia="Arial Narrow" w:hAnsiTheme="minorHAnsi" w:cstheme="minorHAnsi"/>
          <w:b/>
          <w:lang w:bidi="cs-CZ"/>
        </w:rPr>
        <w:t xml:space="preserve"> </w:t>
      </w:r>
      <w:proofErr w:type="spellStart"/>
      <w:r w:rsidRPr="00FA628C">
        <w:rPr>
          <w:rFonts w:asciiTheme="minorHAnsi" w:eastAsia="Arial Narrow" w:hAnsiTheme="minorHAnsi" w:cstheme="minorHAnsi"/>
          <w:b/>
          <w:lang w:bidi="cs-CZ"/>
        </w:rPr>
        <w:t>Ruminant</w:t>
      </w:r>
      <w:proofErr w:type="spellEnd"/>
      <w:r w:rsidRPr="00FA628C">
        <w:rPr>
          <w:rFonts w:asciiTheme="minorHAnsi" w:eastAsia="Arial Narrow" w:hAnsiTheme="minorHAnsi" w:cstheme="minorHAnsi"/>
          <w:b/>
          <w:lang w:bidi="cs-CZ"/>
        </w:rPr>
        <w:t xml:space="preserve"> </w:t>
      </w:r>
      <w:proofErr w:type="spellStart"/>
      <w:r w:rsidRPr="00FA628C">
        <w:rPr>
          <w:rFonts w:asciiTheme="minorHAnsi" w:eastAsia="Arial Narrow" w:hAnsiTheme="minorHAnsi" w:cstheme="minorHAnsi"/>
          <w:b/>
          <w:lang w:bidi="cs-CZ"/>
        </w:rPr>
        <w:t>Respiratory</w:t>
      </w:r>
      <w:proofErr w:type="spellEnd"/>
      <w:r w:rsidRPr="00FA628C">
        <w:rPr>
          <w:rFonts w:asciiTheme="minorHAnsi" w:eastAsia="Arial Narrow" w:hAnsiTheme="minorHAnsi" w:cstheme="minorHAnsi"/>
          <w:b/>
          <w:lang w:bidi="cs-CZ"/>
        </w:rPr>
        <w:t xml:space="preserve"> </w:t>
      </w:r>
      <w:proofErr w:type="spellStart"/>
      <w:r w:rsidRPr="00FA628C">
        <w:rPr>
          <w:rFonts w:asciiTheme="minorHAnsi" w:eastAsia="Arial Narrow" w:hAnsiTheme="minorHAnsi" w:cstheme="minorHAnsi"/>
          <w:b/>
          <w:lang w:bidi="cs-CZ"/>
        </w:rPr>
        <w:t>Screening</w:t>
      </w:r>
      <w:proofErr w:type="spellEnd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Cs w:val="18"/>
        </w:rPr>
      </w:pPr>
      <w:bookmarkStart w:id="1" w:name="bookmark1"/>
      <w:proofErr w:type="spellStart"/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>TaqMan</w:t>
      </w:r>
      <w:proofErr w:type="spellEnd"/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RT-PCR v reálném čase pro detekci 7 hlavních patogenů, které způsobují respirační onemocnění u přežvýkavců (</w:t>
      </w:r>
      <w:r w:rsidRPr="00FA628C">
        <w:rPr>
          <w:rFonts w:asciiTheme="minorHAnsi" w:eastAsia="Arial Narrow" w:hAnsiTheme="minorHAnsi" w:cstheme="minorHAnsi"/>
          <w:i/>
          <w:sz w:val="18"/>
          <w:szCs w:val="18"/>
          <w:lang w:bidi="cs-CZ"/>
        </w:rPr>
        <w:t>Mycoplasma bovis, Histophilus somni, Pasteurella multocida, Mannheimia haemolytica</w:t>
      </w: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, bovinní </w:t>
      </w:r>
      <w:r w:rsidRPr="00FA628C">
        <w:rPr>
          <w:rFonts w:asciiTheme="minorHAnsi" w:eastAsia="Arial Narrow" w:hAnsiTheme="minorHAnsi" w:cstheme="minorHAnsi"/>
          <w:i/>
          <w:sz w:val="18"/>
          <w:szCs w:val="18"/>
          <w:lang w:bidi="cs-CZ"/>
        </w:rPr>
        <w:t>Coronavirus</w:t>
      </w: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, bovinní respirační syncitiální virus, bovinní </w:t>
      </w:r>
      <w:r w:rsidRPr="00FA628C">
        <w:rPr>
          <w:rFonts w:asciiTheme="minorHAnsi" w:eastAsia="Arial Narrow" w:hAnsiTheme="minorHAnsi" w:cstheme="minorHAnsi"/>
          <w:i/>
          <w:sz w:val="18"/>
          <w:szCs w:val="18"/>
          <w:lang w:bidi="cs-CZ"/>
        </w:rPr>
        <w:t>parainfluenza</w:t>
      </w: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>-3 virus)</w:t>
      </w:r>
      <w:bookmarkEnd w:id="1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Cs w:val="18"/>
        </w:rPr>
      </w:pPr>
      <w:bookmarkStart w:id="2" w:name="bookmark2"/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Katalogové číslo</w:t>
      </w: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SRPR</w:t>
      </w:r>
      <w:bookmarkEnd w:id="2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20"/>
          <w:szCs w:val="18"/>
        </w:rPr>
      </w:pPr>
      <w:bookmarkStart w:id="3" w:name="bookmark3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Publikace č.</w:t>
      </w:r>
      <w:r w:rsidRPr="00FA628C">
        <w:rPr>
          <w:rFonts w:asciiTheme="minorHAnsi" w:eastAsia="Arial Narrow" w:hAnsiTheme="minorHAnsi" w:cstheme="minorHAnsi"/>
          <w:sz w:val="20"/>
          <w:szCs w:val="18"/>
          <w:lang w:bidi="cs-CZ"/>
        </w:rPr>
        <w:t xml:space="preserve"> </w:t>
      </w:r>
      <w:r w:rsidRPr="00E244DD">
        <w:rPr>
          <w:rFonts w:asciiTheme="minorHAnsi" w:eastAsia="Arial Narrow" w:hAnsiTheme="minorHAnsi" w:cstheme="minorHAnsi"/>
          <w:sz w:val="20"/>
          <w:szCs w:val="18"/>
          <w:highlight w:val="lightGray"/>
          <w:lang w:bidi="cs-CZ"/>
        </w:rPr>
        <w:t xml:space="preserve">MAN0008879 </w:t>
      </w:r>
      <w:r w:rsidRPr="00E244DD">
        <w:rPr>
          <w:rFonts w:asciiTheme="minorHAnsi" w:eastAsia="Arial Narrow" w:hAnsiTheme="minorHAnsi" w:cstheme="minorHAnsi"/>
          <w:b/>
          <w:sz w:val="20"/>
          <w:szCs w:val="18"/>
          <w:highlight w:val="lightGray"/>
          <w:lang w:bidi="cs-CZ"/>
        </w:rPr>
        <w:t>Rev</w:t>
      </w:r>
      <w:r w:rsidRPr="00E244DD">
        <w:rPr>
          <w:rFonts w:asciiTheme="minorHAnsi" w:eastAsia="Arial Narrow" w:hAnsiTheme="minorHAnsi" w:cstheme="minorHAnsi"/>
          <w:sz w:val="20"/>
          <w:szCs w:val="18"/>
          <w:highlight w:val="lightGray"/>
          <w:lang w:bidi="cs-CZ"/>
        </w:rPr>
        <w:t>. B.0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160"/>
        <w:gridCol w:w="3778"/>
        <w:gridCol w:w="2395"/>
      </w:tblGrid>
      <w:tr w:rsidR="001A5FCA" w:rsidRPr="00FA628C" w:rsidTr="00135AA6">
        <w:trPr>
          <w:trHeight w:val="3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Technologie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Druhy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Nukleová kyselina izolovaná z matric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Typ testu</w:t>
            </w:r>
          </w:p>
        </w:tc>
      </w:tr>
      <w:tr w:rsidR="001A5FCA" w:rsidRPr="00FA628C" w:rsidTr="00135AA6">
        <w:trPr>
          <w:trHeight w:val="7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RT-PCR v reálném čase (DNA/RNA)</w:t>
            </w:r>
          </w:p>
          <w:p w:rsidR="001A5FCA" w:rsidRPr="00FA628C" w:rsidRDefault="001A5FCA" w:rsidP="003D148A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="132" w:hanging="132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7 duplexní</w:t>
            </w:r>
          </w:p>
          <w:p w:rsidR="001A5FCA" w:rsidRPr="00FA628C" w:rsidRDefault="001A5FCA" w:rsidP="003D148A">
            <w:pPr>
              <w:pStyle w:val="Odstavecseseznamem"/>
              <w:numPr>
                <w:ilvl w:val="0"/>
                <w:numId w:val="14"/>
              </w:numPr>
              <w:spacing w:line="276" w:lineRule="auto"/>
              <w:ind w:left="132" w:hanging="132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Endogenní IPC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Skot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Nosní a tracheální výtěry</w:t>
            </w:r>
          </w:p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Tracheální a bronchoalveolární tekutina</w:t>
            </w:r>
          </w:p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Plíce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Individuální</w:t>
            </w:r>
          </w:p>
        </w:tc>
      </w:tr>
    </w:tbl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6"/>
        <w:gridCol w:w="10032"/>
      </w:tblGrid>
      <w:tr w:rsidR="001A5FCA" w:rsidRPr="00FA628C" w:rsidTr="00135AA6">
        <w:trPr>
          <w:trHeight w:val="566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35AA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628C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val="en-US" w:bidi="ar-SA"/>
              </w:rPr>
              <w:drawing>
                <wp:inline distT="0" distB="0" distL="0" distR="0" wp14:anchorId="5AB67D66" wp14:editId="25F5A8AB">
                  <wp:extent cx="238760" cy="198755"/>
                  <wp:effectExtent l="0" t="0" r="8890" b="0"/>
                  <wp:docPr id="1" name="Obrázek 1" descr="C:\Users\uzivatel\AppData\Local\Temp\FineReader11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zivatel\AppData\Local\Temp\FineReader11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VAROVÁNÍ!</w:t>
            </w:r>
            <w:r w:rsidRPr="00FA628C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 xml:space="preserve"> Přečtěte si bezpečnostní listy (SDS) a dodržujte pokyny k manipulaci. Používejte vhodné ochranné brýle, oděv a rukavice. Bezpečnostní listy (BL) jsou k dispozici na adrese </w:t>
            </w:r>
            <w:r w:rsidRPr="00FA628C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cs-CZ"/>
              </w:rPr>
              <w:t>thermofisher.com/support.</w:t>
            </w:r>
          </w:p>
        </w:tc>
      </w:tr>
      <w:tr w:rsidR="001A5FCA" w:rsidRPr="00FA628C" w:rsidTr="00135AA6">
        <w:trPr>
          <w:trHeight w:val="62"/>
        </w:trPr>
        <w:tc>
          <w:tcPr>
            <w:tcW w:w="7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0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5FCA" w:rsidRPr="00FA628C" w:rsidTr="00135AA6">
        <w:trPr>
          <w:trHeight w:val="562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35AA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628C">
              <w:rPr>
                <w:rFonts w:asciiTheme="minorHAnsi" w:eastAsia="Times New Roman" w:hAnsiTheme="minorHAnsi" w:cstheme="minorHAnsi"/>
                <w:noProof/>
                <w:sz w:val="18"/>
                <w:szCs w:val="18"/>
                <w:lang w:val="en-US" w:bidi="ar-SA"/>
              </w:rPr>
              <w:drawing>
                <wp:inline distT="0" distB="0" distL="0" distR="0" wp14:anchorId="5C547033" wp14:editId="2E614AB1">
                  <wp:extent cx="238760" cy="198755"/>
                  <wp:effectExtent l="0" t="0" r="8890" b="0"/>
                  <wp:docPr id="2" name="Obrázek 2" descr="C:\Users\uzivatel\AppData\Local\Temp\FineReader11.00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zivatel\AppData\Local\Temp\FineReader11.00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8"/>
                <w:szCs w:val="18"/>
                <w:lang w:bidi="cs-CZ"/>
              </w:rPr>
              <w:t>VAROVÁNÍ! POTENCIÁLNÍ BIOLOGICKÉ NEBEZPEČÍ</w:t>
            </w:r>
            <w:r w:rsidRPr="00FA628C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 xml:space="preserve">. Přečtěte si bezpečnostní informace o biologickém nebezpečí na stránce daného výrobku na adrese </w:t>
            </w:r>
            <w:r w:rsidRPr="00FA628C">
              <w:rPr>
                <w:rFonts w:asciiTheme="minorHAnsi" w:eastAsia="Times New Roman" w:hAnsiTheme="minorHAnsi" w:cstheme="minorHAnsi"/>
                <w:b/>
                <w:sz w:val="18"/>
                <w:szCs w:val="18"/>
                <w:lang w:bidi="cs-CZ"/>
              </w:rPr>
              <w:t>termofisher.com</w:t>
            </w:r>
            <w:r w:rsidRPr="00FA628C">
              <w:rPr>
                <w:rFonts w:asciiTheme="minorHAnsi" w:eastAsia="Times New Roman" w:hAnsiTheme="minorHAnsi" w:cstheme="minorHAnsi"/>
                <w:sz w:val="18"/>
                <w:szCs w:val="18"/>
                <w:lang w:bidi="cs-CZ"/>
              </w:rPr>
              <w:t>. Používejte vhodné ochranné brýle, oděv a rukavice.</w:t>
            </w:r>
          </w:p>
        </w:tc>
      </w:tr>
    </w:tbl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E244DD">
      <w:pPr>
        <w:spacing w:line="276" w:lineRule="auto"/>
        <w:outlineLvl w:val="2"/>
        <w:rPr>
          <w:rFonts w:asciiTheme="minorHAnsi" w:hAnsiTheme="minorHAnsi" w:cstheme="minorHAnsi"/>
          <w:sz w:val="18"/>
          <w:szCs w:val="18"/>
        </w:rPr>
      </w:pPr>
      <w:bookmarkStart w:id="4" w:name="bookmark4"/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Informace o výrobku</w:t>
      </w:r>
      <w:bookmarkEnd w:id="4"/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5" w:name="bookmark5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Popis výrobku</w:t>
      </w:r>
      <w:bookmarkEnd w:id="5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Souprava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Applied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Biosystems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VetMAX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Ruminant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Respiratory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Screening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je molekulárně diagnostický nástroj pro detekci agens, která způsobují hlavní respirační onemocnění u skotu (</w:t>
      </w:r>
      <w:r w:rsidRPr="00FA628C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 xml:space="preserve">M. bovis, H. somni, P. multocida, M. </w:t>
      </w:r>
      <w:proofErr w:type="spellStart"/>
      <w:r w:rsidRPr="00FA628C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>haemolytica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, bovinní </w:t>
      </w:r>
      <w:proofErr w:type="spellStart"/>
      <w:r w:rsidRPr="00FA628C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>Coronavirus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, bovinní respirační </w:t>
      </w:r>
      <w:proofErr w:type="spellStart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syncitiální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virus, bovinní </w:t>
      </w:r>
      <w:proofErr w:type="spellStart"/>
      <w:r w:rsidRPr="00FA628C">
        <w:rPr>
          <w:rFonts w:asciiTheme="minorHAnsi" w:eastAsia="Times New Roman" w:hAnsiTheme="minorHAnsi" w:cstheme="minorHAnsi"/>
          <w:i/>
          <w:sz w:val="18"/>
          <w:szCs w:val="18"/>
          <w:lang w:bidi="cs-CZ"/>
        </w:rPr>
        <w:t>parainfluenza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3) pomocí PCR v reálném čase.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Každý vzorek nukleové kyseliny získaný po extrakci je analyzován v 7 jednotlivých jamkách; každá jamka se používá ke specifické detekci nukleové kyseliny daného patogenu a IPC (Internal Positive Control). Pozitivní IPC odráží účinnost extrakce a nepřítomnost inhibitoru ve vzorcích.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Může být použita na nukleové kyseliny extrahované z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nosních a tracheálních výtěrů a tracheálních, bronchoalveolárních a plicních tekutin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Kompletní protokoly pro extrakci nukleových kyselin z těchto matric jsou k dispozici na vyžádání od Technické podpory.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6" w:name="bookmark6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Obsah soupravy a skladování</w:t>
      </w:r>
      <w:bookmarkEnd w:id="6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Souprava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VetMAX</w:t>
      </w:r>
      <w:proofErr w:type="spellEnd"/>
      <w:r w:rsid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Ruminant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Respiratory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Screening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obsahuje složky, které lze použít k detekci těchto 7 patogenů a IPC. Po převzetí má být celá souprava skladována při teplotě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-30 °C až -10 °C.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Po prvním použití složky uložte soupravu podle následujících doporučení: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3869"/>
        <w:gridCol w:w="1373"/>
        <w:gridCol w:w="1426"/>
        <w:gridCol w:w="1368"/>
      </w:tblGrid>
      <w:tr w:rsidR="001A5FCA" w:rsidRPr="00FA628C" w:rsidTr="005836BE">
        <w:trPr>
          <w:trHeight w:val="302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Složka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Popis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Objem (25 reakcí)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Skladování</w:t>
            </w:r>
          </w:p>
        </w:tc>
      </w:tr>
      <w:tr w:rsidR="001A5FCA" w:rsidRPr="00FA628C" w:rsidTr="005836BE">
        <w:trPr>
          <w:trHeight w:val="509"/>
        </w:trPr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Po obdržení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Po prvním použití</w:t>
            </w:r>
          </w:p>
        </w:tc>
      </w:tr>
      <w:tr w:rsidR="001A5FCA" w:rsidRPr="00FA628C" w:rsidTr="005836BE">
        <w:trPr>
          <w:trHeight w:val="45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48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3 - Mix SRPR </w:t>
            </w:r>
            <w:r w:rsidRPr="00E244DD">
              <w:rPr>
                <w:rFonts w:asciiTheme="minorHAnsi" w:eastAsia="Arial Narrow" w:hAnsiTheme="minorHAnsi" w:cstheme="minorHAnsi"/>
                <w:i/>
                <w:sz w:val="16"/>
                <w:szCs w:val="18"/>
                <w:lang w:bidi="cs-CZ"/>
              </w:rPr>
              <w:t>M. bovis</w:t>
            </w:r>
          </w:p>
          <w:p w:rsidR="001A5FC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(Zelená zkumavka)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ind w:left="360" w:hanging="360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7 mixů pro </w:t>
            </w:r>
            <w:proofErr w:type="spellStart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</w:t>
            </w:r>
            <w:proofErr w:type="spell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RT-PCR. Každý z nich obsahuje:</w:t>
            </w:r>
          </w:p>
          <w:p w:rsidR="001A5FCA" w:rsidRPr="00FA628C" w:rsidRDefault="001A5FCA" w:rsidP="003D148A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59" w:hanging="284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cílovou strukturu patogenu, včetně sondy </w:t>
            </w:r>
            <w:proofErr w:type="spellStart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</w:t>
            </w:r>
            <w:proofErr w:type="spell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nesoucí označení </w:t>
            </w:r>
            <w:proofErr w:type="gramStart"/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FAM - NFQ</w:t>
            </w:r>
            <w:proofErr w:type="gram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(nefluorescenční zhášeč).</w:t>
            </w:r>
          </w:p>
          <w:p w:rsidR="001A5FCA" w:rsidRPr="00FA628C" w:rsidRDefault="001A5FCA" w:rsidP="003D148A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59" w:hanging="284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Detekční systém pro IPC, včetně sondy </w:t>
            </w:r>
            <w:proofErr w:type="spellStart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TaqMan</w:t>
            </w:r>
            <w:proofErr w:type="spell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nesoucí označení </w:t>
            </w:r>
            <w:proofErr w:type="gramStart"/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VIC - NFQ</w:t>
            </w:r>
            <w:proofErr w:type="gram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(nefluorescenční zhášeč).</w:t>
            </w:r>
          </w:p>
          <w:p w:rsidR="001A5FCA" w:rsidRPr="00FA628C" w:rsidRDefault="001A5FCA" w:rsidP="003D148A">
            <w:pPr>
              <w:pStyle w:val="Odstavecseseznamem"/>
              <w:numPr>
                <w:ilvl w:val="0"/>
                <w:numId w:val="31"/>
              </w:numPr>
              <w:spacing w:line="276" w:lineRule="auto"/>
              <w:ind w:left="359" w:hanging="284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Pufr, reverzní transkriptáza a enzym pro PCR v reálném čase.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500 μl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  <w:tr w:rsidR="001A5FCA" w:rsidRPr="00FA628C" w:rsidTr="005836BE">
        <w:trPr>
          <w:trHeight w:val="46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48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3 - Mix SRPR </w:t>
            </w:r>
            <w:r w:rsidRPr="00E244DD">
              <w:rPr>
                <w:rFonts w:asciiTheme="minorHAnsi" w:eastAsia="Arial Narrow" w:hAnsiTheme="minorHAnsi" w:cstheme="minorHAnsi"/>
                <w:i/>
                <w:sz w:val="16"/>
                <w:szCs w:val="18"/>
                <w:lang w:bidi="cs-CZ"/>
              </w:rPr>
              <w:t>H. somni</w:t>
            </w:r>
          </w:p>
          <w:p w:rsidR="001A5FC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(Žlutá zkumavka)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500 μl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  <w:tr w:rsidR="001A5FCA" w:rsidRPr="00FA628C" w:rsidTr="005836BE">
        <w:trPr>
          <w:trHeight w:val="46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48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3 - Mix SRPR </w:t>
            </w:r>
            <w:r w:rsidRPr="00E244DD">
              <w:rPr>
                <w:rFonts w:asciiTheme="minorHAnsi" w:eastAsia="Arial Narrow" w:hAnsiTheme="minorHAnsi" w:cstheme="minorHAnsi"/>
                <w:i/>
                <w:sz w:val="16"/>
                <w:szCs w:val="18"/>
                <w:lang w:bidi="cs-CZ"/>
              </w:rPr>
              <w:t>P. multocida</w:t>
            </w:r>
          </w:p>
          <w:p w:rsidR="001A5FC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(Modrá zkumavka)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500 μl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  <w:tr w:rsidR="001A5FCA" w:rsidRPr="00FA628C" w:rsidTr="005836BE">
        <w:trPr>
          <w:trHeight w:val="45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48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3 - Mix SRPR </w:t>
            </w:r>
            <w:r w:rsidRPr="00E244DD">
              <w:rPr>
                <w:rFonts w:asciiTheme="minorHAnsi" w:eastAsia="Arial Narrow" w:hAnsiTheme="minorHAnsi" w:cstheme="minorHAnsi"/>
                <w:i/>
                <w:sz w:val="16"/>
                <w:szCs w:val="18"/>
                <w:lang w:bidi="cs-CZ"/>
              </w:rPr>
              <w:t xml:space="preserve">M. </w:t>
            </w:r>
            <w:proofErr w:type="spellStart"/>
            <w:r w:rsidRPr="00E244DD">
              <w:rPr>
                <w:rFonts w:asciiTheme="minorHAnsi" w:eastAsia="Arial Narrow" w:hAnsiTheme="minorHAnsi" w:cstheme="minorHAnsi"/>
                <w:i/>
                <w:sz w:val="16"/>
                <w:szCs w:val="18"/>
                <w:lang w:bidi="cs-CZ"/>
              </w:rPr>
              <w:t>haemolytica</w:t>
            </w:r>
            <w:proofErr w:type="spellEnd"/>
          </w:p>
          <w:p w:rsidR="001A5FC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(Oranžová zkumavka)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500 μl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  <w:tr w:rsidR="001A5FCA" w:rsidRPr="00FA628C" w:rsidTr="005836BE">
        <w:trPr>
          <w:trHeight w:val="46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48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3 - Mix SRPR Corona</w:t>
            </w:r>
          </w:p>
          <w:p w:rsidR="001A5FC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(Červená zkumavka)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500 μl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  <w:tr w:rsidR="001A5FCA" w:rsidRPr="00FA628C" w:rsidTr="005836BE">
        <w:trPr>
          <w:trHeight w:val="461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48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3 - Mix SRPR RSV</w:t>
            </w:r>
          </w:p>
          <w:p w:rsidR="001A5FC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(Černá zkumavka)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500 μl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  <w:tr w:rsidR="001A5FCA" w:rsidRPr="00FA628C" w:rsidTr="005836BE">
        <w:trPr>
          <w:trHeight w:val="45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48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3 - Mix SRPR bPI3</w:t>
            </w:r>
          </w:p>
          <w:p w:rsidR="001A5FC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(Fialová zkumavka)</w:t>
            </w: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500 μl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  <w:tr w:rsidR="001A5FCA" w:rsidRPr="00FA628C" w:rsidTr="005836BE">
        <w:trPr>
          <w:trHeight w:val="840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48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4a - EPC SRPR</w:t>
            </w:r>
          </w:p>
          <w:p w:rsidR="001A5FCA" w:rsidRPr="00FA628C" w:rsidRDefault="003D148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(Hnědá zkumavka)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BF47E2" w:rsidP="003D148A">
            <w:pPr>
              <w:spacing w:line="276" w:lineRule="auto"/>
              <w:ind w:left="360" w:hanging="360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External Positive Control (</w:t>
            </w:r>
            <w:r w:rsidR="001A5FCA"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Externí pozitivní kontrola</w:t>
            </w: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)</w:t>
            </w:r>
            <w:r w:rsidR="001A5FCA"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:</w:t>
            </w:r>
          </w:p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Pozitivní kontrola pro 7 patogenů. Sestává z </w:t>
            </w: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již extrahované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nukleové kyseliny, která má být amplifikována během PCR v reálném čase.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360 ul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-30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 až -10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°C</w:t>
            </w:r>
          </w:p>
        </w:tc>
      </w:tr>
    </w:tbl>
    <w:p w:rsidR="004D6E36" w:rsidRPr="00FA628C" w:rsidRDefault="004D6E36">
      <w:pPr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br w:type="page"/>
      </w:r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7" w:name="bookmark7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lastRenderedPageBreak/>
        <w:t>Extrakční a amplifikační kontroly</w:t>
      </w:r>
      <w:bookmarkEnd w:id="7"/>
    </w:p>
    <w:p w:rsidR="001A5FCA" w:rsidRPr="00FA628C" w:rsidRDefault="001A5FCA" w:rsidP="003D148A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Souprava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VetMAX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Ruminant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Respiratory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Screening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obsahuje jednu kontrolu, která se používá k validaci amplifikace nukleové kyseliny.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bookmarkStart w:id="8" w:name="bookmark8"/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 xml:space="preserve">4a - EPC SRPR: </w:t>
      </w:r>
      <w:r w:rsidR="00BF47E2"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pathogen target positive control (</w:t>
      </w: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pozitivní kontrola cílového patogenu</w:t>
      </w:r>
      <w:bookmarkEnd w:id="8"/>
      <w:r w:rsidR="00BF47E2"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)</w:t>
      </w:r>
    </w:p>
    <w:p w:rsidR="001A5FCA" w:rsidRPr="00FA628C" w:rsidRDefault="001A5FCA" w:rsidP="003D148A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Již extrahovaná 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kontrola, která má být amplifikována během PCR v reálném čase.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výsledek v rámci specifikovaného rozsahu Ct umožňuje u každého patogenu validovat amplifikaci cílového patogenu pomocí RT-PCR v reálném čase.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Ověření extrakce nukleové kyseliny pro každý vzorek se provádí detekcí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endogenous IPC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(Internal Positive Control) (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endogenní IPC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(Interní pozitivní kontroly))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přítomné v každém vzorku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Pozitivní výsledek IPC s vyhovující hodnotou ve vzorku validuje extrakci tohoto vzorku, ať už pozitivního nebo negativního pro cílový patogen: eliminace falešně negativních výsledků a ověření účinku inhibitoru.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Pro konfirmaci správné analýzy doporučujeme zahrnout dvě negativní kontroly: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bookmarkStart w:id="9" w:name="bookmark9"/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NCS: negative extraction control (NCS: negativní extrakční kontrola)</w:t>
      </w:r>
      <w:bookmarkEnd w:id="9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Tato kontrola sestává z reagencií použitých při extrakci bez přidání vzorku (objem vzorku může být nahrazen pufrem použitým při přípravě vzorku nebo vodou bez DNázy/RNázy), které procházejí stejným zpracováním jako vzorky: extrakcí nukleových kyselin a RT-PCR v reálném čase.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Negativní výsledek pro cílový patogen a endogenní IPC potvrzuje nepřítomnost kontaminace během extrakce a RT-PCR v reálném čase.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BF47E2">
      <w:pPr>
        <w:spacing w:line="276" w:lineRule="auto"/>
        <w:ind w:left="360" w:hanging="360"/>
        <w:rPr>
          <w:rFonts w:asciiTheme="minorHAnsi" w:hAnsiTheme="minorHAnsi" w:cstheme="minorHAnsi"/>
          <w:b/>
          <w:sz w:val="18"/>
          <w:szCs w:val="18"/>
        </w:rPr>
      </w:pPr>
      <w:bookmarkStart w:id="10" w:name="bookmark10"/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NC: negative amplification control (</w:t>
      </w:r>
      <w:r w:rsidR="00BF47E2"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NC: n</w:t>
      </w: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egativní amplifikační kontrola)</w:t>
      </w:r>
      <w:bookmarkEnd w:id="10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Tato kontrola sestává z amplifikačního mixu přidaného na destičku během přípravy RT-PCR v reálném čase, a dále z 5 μl vody bez DNázy / RNázy pro doplnění objemu reakce na 25 μl.</w:t>
      </w:r>
    </w:p>
    <w:p w:rsidR="001A5FCA" w:rsidRPr="00FA628C" w:rsidRDefault="001A5FCA" w:rsidP="003D148A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Negativní výsledek pro daný patogen potvrzuje absenci kontaminace během přípravy PCR reakce v reálném čase.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1" w:name="bookmark11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Požadované materiály, které nejsou součástí dodávky</w:t>
      </w:r>
      <w:bookmarkEnd w:id="11"/>
    </w:p>
    <w:p w:rsidR="001A5FCA" w:rsidRPr="00FA628C" w:rsidRDefault="001A5FCA" w:rsidP="003D148A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Pokud není uvedeno jinak, jsou všechny materiály k dispozici na stránce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thermofisher.com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.</w:t>
      </w:r>
    </w:p>
    <w:p w:rsidR="001A5FCA" w:rsidRPr="00FA628C" w:rsidRDefault="001A5FCA" w:rsidP="003D148A">
      <w:pPr>
        <w:pStyle w:val="Odstavecseseznamem"/>
        <w:numPr>
          <w:ilvl w:val="0"/>
          <w:numId w:val="18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>Vysoce přesné mikropipety (rozmezí od 1 μl do 1000 μl) s filtrovanými špičkami</w:t>
      </w: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 xml:space="preserve"> </w:t>
      </w: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>bez DNázy/RNázy.</w:t>
      </w:r>
    </w:p>
    <w:p w:rsidR="001A5FCA" w:rsidRPr="00FA628C" w:rsidRDefault="001A5FCA" w:rsidP="003D148A">
      <w:pPr>
        <w:pStyle w:val="Odstavecseseznamem"/>
        <w:numPr>
          <w:ilvl w:val="0"/>
          <w:numId w:val="18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>DNase/RNase-free water (Voda bez DNázy/RNázy)</w:t>
      </w:r>
    </w:p>
    <w:p w:rsidR="001A5FCA" w:rsidRPr="00FA628C" w:rsidRDefault="001A5FCA" w:rsidP="003D148A">
      <w:pPr>
        <w:pStyle w:val="Odstavecseseznamem"/>
        <w:numPr>
          <w:ilvl w:val="0"/>
          <w:numId w:val="18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>1X TE pufr</w:t>
      </w:r>
    </w:p>
    <w:p w:rsidR="001A5FCA" w:rsidRPr="00FA628C" w:rsidRDefault="001A5FCA" w:rsidP="003D148A">
      <w:pPr>
        <w:pStyle w:val="Odstavecseseznamem"/>
        <w:numPr>
          <w:ilvl w:val="0"/>
          <w:numId w:val="18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>1X PBS pufr</w:t>
      </w:r>
    </w:p>
    <w:p w:rsidR="001A5FCA" w:rsidRPr="00FA628C" w:rsidRDefault="001A5FCA" w:rsidP="003D148A">
      <w:pPr>
        <w:pStyle w:val="Odstavecseseznamem"/>
        <w:numPr>
          <w:ilvl w:val="0"/>
          <w:numId w:val="18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>Termocykler pro PCR v reálném čase schopný detekovat následující fluorofory:</w:t>
      </w:r>
    </w:p>
    <w:p w:rsidR="001A5FCA" w:rsidRPr="00FA628C" w:rsidRDefault="001A5FCA" w:rsidP="003D148A">
      <w:pPr>
        <w:pStyle w:val="Odstavecseseznamem"/>
        <w:numPr>
          <w:ilvl w:val="0"/>
          <w:numId w:val="14"/>
        </w:numPr>
        <w:spacing w:line="276" w:lineRule="auto"/>
        <w:ind w:left="567" w:hanging="283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FAM (emisní maximum: λ515 nm)</w:t>
      </w:r>
    </w:p>
    <w:p w:rsidR="001A5FCA" w:rsidRPr="00FA628C" w:rsidRDefault="001A5FCA" w:rsidP="003D148A">
      <w:pPr>
        <w:pStyle w:val="Odstavecseseznamem"/>
        <w:numPr>
          <w:ilvl w:val="0"/>
          <w:numId w:val="14"/>
        </w:numPr>
        <w:spacing w:line="276" w:lineRule="auto"/>
        <w:ind w:left="567" w:hanging="283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VIC (emisní maximum: λ554 </w:t>
      </w:r>
      <w:proofErr w:type="spellStart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nm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)</w:t>
      </w:r>
    </w:p>
    <w:p w:rsidR="001A5FCA" w:rsidRPr="00FA628C" w:rsidRDefault="001A5FCA" w:rsidP="003D148A">
      <w:pPr>
        <w:pStyle w:val="Odstavecseseznamem"/>
        <w:numPr>
          <w:ilvl w:val="0"/>
          <w:numId w:val="18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Spotřební materiál potřebné optické kvality kompatibilní s použitým termocyklerem:</w:t>
      </w:r>
    </w:p>
    <w:p w:rsidR="001A5FCA" w:rsidRPr="00FA628C" w:rsidRDefault="001A5FCA" w:rsidP="003D148A">
      <w:pPr>
        <w:pStyle w:val="Odstavecseseznamem"/>
        <w:numPr>
          <w:ilvl w:val="0"/>
          <w:numId w:val="14"/>
        </w:numPr>
        <w:spacing w:line="276" w:lineRule="auto"/>
        <w:ind w:left="567" w:hanging="283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96-jamkové PCR destičky, PCR stripy (8 nebo 12 jamek), mikrozkumavky nebo kapiláry</w:t>
      </w:r>
    </w:p>
    <w:p w:rsidR="001A5FCA" w:rsidRPr="00FA628C" w:rsidRDefault="001A5FCA" w:rsidP="003D148A">
      <w:pPr>
        <w:pStyle w:val="Odstavecseseznamem"/>
        <w:numPr>
          <w:ilvl w:val="0"/>
          <w:numId w:val="14"/>
        </w:numPr>
        <w:spacing w:line="276" w:lineRule="auto"/>
        <w:ind w:left="567" w:hanging="283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Vhodné kryty destiček nebo víčka pro zakrytí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bookmarkStart w:id="12" w:name="bookmark12"/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Postup analýzy</w:t>
      </w:r>
      <w:bookmarkEnd w:id="12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Reakční objem PCR v reálném čase je 25 μl:</w:t>
      </w:r>
    </w:p>
    <w:p w:rsidR="001A5FCA" w:rsidRPr="00FA628C" w:rsidRDefault="001A5FCA" w:rsidP="003D148A">
      <w:pPr>
        <w:pStyle w:val="Odstavecseseznamem"/>
        <w:numPr>
          <w:ilvl w:val="0"/>
          <w:numId w:val="16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3</w:t>
      </w:r>
      <w:r w:rsidR="00E244DD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-</w:t>
      </w:r>
      <w:r w:rsidR="00E244DD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</w:t>
      </w: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 xml:space="preserve">Mix SRPR </w:t>
      </w:r>
      <w:proofErr w:type="spellStart"/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Pathogen</w:t>
      </w:r>
      <w:proofErr w:type="spellEnd"/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: 20 </w:t>
      </w:r>
      <w:proofErr w:type="spellStart"/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>μl</w:t>
      </w:r>
      <w:proofErr w:type="spellEnd"/>
      <w:r w:rsidRPr="00FA628C">
        <w:rPr>
          <w:rFonts w:asciiTheme="minorHAnsi" w:eastAsia="Arial Narrow" w:hAnsiTheme="minorHAnsi" w:cstheme="minorHAnsi"/>
          <w:sz w:val="18"/>
          <w:szCs w:val="18"/>
          <w:lang w:bidi="cs-CZ"/>
        </w:rPr>
        <w:t xml:space="preserve"> na analýzu</w:t>
      </w:r>
    </w:p>
    <w:p w:rsidR="001A5FCA" w:rsidRPr="00FA628C" w:rsidRDefault="001A5FCA" w:rsidP="003D148A">
      <w:pPr>
        <w:pStyle w:val="Odstavecseseznamem"/>
        <w:numPr>
          <w:ilvl w:val="0"/>
          <w:numId w:val="16"/>
        </w:numPr>
        <w:spacing w:line="276" w:lineRule="auto"/>
        <w:ind w:left="226" w:hanging="226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Ext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rahovaná DNA: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5 </w:t>
      </w:r>
      <w:proofErr w:type="spellStart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μl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na analýzu a na mix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3" w:name="bookmark13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Extrakce nukleové kyseliny</w:t>
      </w:r>
      <w:bookmarkEnd w:id="13"/>
    </w:p>
    <w:p w:rsidR="001A5FCA" w:rsidRPr="00FA628C" w:rsidRDefault="001A5FCA" w:rsidP="003D148A">
      <w:pPr>
        <w:spacing w:line="276" w:lineRule="auto"/>
        <w:ind w:left="360" w:hanging="360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Nukleová kyselina musí být extrahována ze vzorků před RT-PCR analýzou v reálném čase.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POZNÁMKA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: Pro informace o metodách extrakce, které jsou kompatibilní se soupravou </w:t>
      </w:r>
      <w:proofErr w:type="spellStart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VetMAX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Ruminant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Respiratory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</w:t>
      </w:r>
      <w:proofErr w:type="spellStart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Screening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a které jsou pro ni validovány, kontaktujte oddělení technické podpory.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4" w:name="bookmark14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Příprava RT-PCR v reálném čase</w:t>
      </w:r>
      <w:bookmarkEnd w:id="14"/>
    </w:p>
    <w:p w:rsidR="001A5FCA" w:rsidRPr="00FA628C" w:rsidRDefault="001A5FCA" w:rsidP="003D148A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Vytvořte plán analýzy pro distribuci mixů a vzorků. Je-li to možné, uchovávejte pozitivní kontrolu (EPC) odděleně od ostatních vzorků.</w:t>
      </w:r>
    </w:p>
    <w:p w:rsidR="001A5FCA" w:rsidRPr="00FA628C" w:rsidRDefault="001A5FCA" w:rsidP="003D148A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U každého mixu použitého pro analýzu:</w:t>
      </w:r>
    </w:p>
    <w:p w:rsidR="001A5FCA" w:rsidRPr="00FA628C" w:rsidRDefault="001A5FCA" w:rsidP="003D148A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Rozmrazte zkumavku s reagencií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3 - Mix SRPR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pathogen</w:t>
      </w:r>
      <w:proofErr w:type="spellEnd"/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 při teplotě mezi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2 °C a 8 °C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, na ledu nebo v chlazeném stojanu.</w:t>
      </w:r>
    </w:p>
    <w:p w:rsidR="001A5FCA" w:rsidRPr="00FA628C" w:rsidRDefault="001A5FCA" w:rsidP="003D148A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Zkumavku s reagencií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3 - Mix SRPR 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promíchejte opatrným protřepáním a poté krátce centrifugujte.</w:t>
      </w:r>
    </w:p>
    <w:p w:rsidR="004D6E36" w:rsidRPr="00FA628C" w:rsidRDefault="001A5FCA" w:rsidP="003D148A">
      <w:pPr>
        <w:pStyle w:val="Odstavecseseznamem"/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Přidejte po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20 </w:t>
      </w:r>
      <w:proofErr w:type="spellStart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μl</w:t>
      </w:r>
      <w:proofErr w:type="spellEnd"/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 mixu 3 - Mix SRPR 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do každé použité jamky PCR destičky, PCR stripu nebo kapiláry.</w:t>
      </w:r>
    </w:p>
    <w:p w:rsidR="004D6E36" w:rsidRPr="00FA628C" w:rsidRDefault="004D6E36">
      <w:pPr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br w:type="page"/>
      </w:r>
    </w:p>
    <w:p w:rsidR="001A5FCA" w:rsidRPr="00FA628C" w:rsidRDefault="001A5FCA" w:rsidP="003D148A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lastRenderedPageBreak/>
        <w:t>Přidejte vzorek a kontrolní nukleovou kyselinu do každého reakčního mixu podle předem definovaného plánu analýzy: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4"/>
        <w:gridCol w:w="4066"/>
        <w:gridCol w:w="3062"/>
      </w:tblGrid>
      <w:tr w:rsidR="001A5FCA" w:rsidRPr="00FA628C" w:rsidTr="00F54BB6">
        <w:trPr>
          <w:trHeight w:val="346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Typ analýzy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Složka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Objem vzorku</w:t>
            </w:r>
          </w:p>
        </w:tc>
      </w:tr>
      <w:tr w:rsidR="001A5FCA" w:rsidRPr="00FA628C" w:rsidTr="00F54BB6">
        <w:trPr>
          <w:trHeight w:val="34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Vzorek pro analýzu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Nukleová kyselina extrahovaná ze vzorku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1A5FCA" w:rsidRPr="00FA628C" w:rsidTr="00F54BB6">
        <w:trPr>
          <w:trHeight w:val="34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Positive amplification control (Pozitivní amplifikační kontrola)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proofErr w:type="gramStart"/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 - EPC</w:t>
            </w:r>
            <w:proofErr w:type="gramEnd"/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 xml:space="preserve"> SRPR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1A5FCA" w:rsidRPr="00FA628C" w:rsidTr="00F54BB6">
        <w:trPr>
          <w:trHeight w:val="341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Negative extraction control (Negativní extrakční kontrola) (NCS)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Extrahovaná NCS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  <w:tr w:rsidR="001A5FCA" w:rsidRPr="00FA628C" w:rsidTr="00F54BB6">
        <w:trPr>
          <w:trHeight w:val="350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Negative amplification control Negativní amplifikační kontrola (NC)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DNase/RNase-free water (Voda bez DNázy/RNázy)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5 μl</w:t>
            </w:r>
          </w:p>
        </w:tc>
      </w:tr>
    </w:tbl>
    <w:p w:rsidR="001A5FCA" w:rsidRPr="00FA628C" w:rsidRDefault="001A5FCA" w:rsidP="003D148A">
      <w:pPr>
        <w:pStyle w:val="Odstavecseseznamem"/>
        <w:numPr>
          <w:ilvl w:val="0"/>
          <w:numId w:val="21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Zakryjte PCR destičku, PCR stripy nebo kapiláry adhezivním víčkem destičky nebo vhodnými uzávěry.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5" w:name="bookmark15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Amplifikace RT-PCR v reálném čas</w:t>
      </w:r>
      <w:bookmarkEnd w:id="15"/>
    </w:p>
    <w:p w:rsidR="001A5FCA" w:rsidRPr="00FA628C" w:rsidRDefault="001A5FCA" w:rsidP="003D148A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Na termocykleru vytvořte následující detektory: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2"/>
        <w:gridCol w:w="3595"/>
        <w:gridCol w:w="3614"/>
      </w:tblGrid>
      <w:tr w:rsidR="001A5FCA" w:rsidRPr="00FA628C" w:rsidTr="00F54BB6">
        <w:trPr>
          <w:trHeight w:val="3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Reportér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Quencher</w:t>
            </w:r>
          </w:p>
        </w:tc>
      </w:tr>
      <w:tr w:rsidR="001A5FCA" w:rsidRPr="00FA628C" w:rsidTr="00F54BB6">
        <w:trPr>
          <w:trHeight w:val="341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MB, HS, PM, MH, BCOV, RSV, BPI3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FAM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NFQ (nefluorescenční zhášeč)</w:t>
            </w:r>
          </w:p>
        </w:tc>
      </w:tr>
      <w:tr w:rsidR="001A5FCA" w:rsidRPr="00FA628C" w:rsidTr="00F54BB6">
        <w:trPr>
          <w:trHeight w:val="33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IPC SRPR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VIC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NFQ (nefluorescenční zhášeč)</w:t>
            </w:r>
          </w:p>
        </w:tc>
      </w:tr>
      <w:tr w:rsidR="001A5FCA" w:rsidRPr="00FA628C" w:rsidTr="00F54BB6">
        <w:trPr>
          <w:trHeight w:val="350"/>
        </w:trPr>
        <w:tc>
          <w:tcPr>
            <w:tcW w:w="10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Pasivní reference: </w:t>
            </w:r>
            <w:proofErr w:type="gramStart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ROX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</w:t>
            </w:r>
            <w:proofErr w:type="gram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1)</w:t>
            </w:r>
          </w:p>
        </w:tc>
      </w:tr>
    </w:tbl>
    <w:p w:rsidR="001A5FCA" w:rsidRPr="00FA628C" w:rsidRDefault="001A5FCA" w:rsidP="003D148A">
      <w:pPr>
        <w:spacing w:line="276" w:lineRule="auto"/>
        <w:ind w:left="142" w:hanging="142"/>
        <w:rPr>
          <w:rFonts w:asciiTheme="minorHAnsi" w:hAnsiTheme="minorHAnsi" w:cstheme="minorHAnsi"/>
          <w:sz w:val="16"/>
          <w:szCs w:val="18"/>
        </w:rPr>
      </w:pPr>
      <w:r w:rsidRPr="00FA628C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FA628C">
        <w:rPr>
          <w:rFonts w:asciiTheme="minorHAnsi" w:eastAsia="Arial Narrow" w:hAnsiTheme="minorHAnsi" w:cstheme="minorHAnsi"/>
          <w:sz w:val="16"/>
          <w:szCs w:val="18"/>
          <w:lang w:bidi="cs-CZ"/>
        </w:rPr>
        <w:t>Fluorofor ROX™ musí být zadán pro analýzu RT-PCR v reálném čase, pokud je termocykler schopen jej detekovat. Nepřítomnost detekce tohoto fluoroforu u ostatních termocyklerů neohrožuje analýzu RT-PCR v reálném čase.</w:t>
      </w:r>
    </w:p>
    <w:p w:rsidR="001A5FCA" w:rsidRPr="00FA628C" w:rsidRDefault="001A5FCA" w:rsidP="003D148A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Přiřaďte detektor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odpovídajícího 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patogenu a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IPC SRPR 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detektor ke každé jamce se vzorkem použité v analýze.</w:t>
      </w:r>
    </w:p>
    <w:p w:rsidR="001A5FCA" w:rsidRPr="00FA628C" w:rsidRDefault="001A5FCA" w:rsidP="003D148A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Pro analýzu nastavte následující program RT-PCR v reálném čase: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5"/>
        <w:gridCol w:w="2630"/>
        <w:gridCol w:w="2630"/>
        <w:gridCol w:w="2640"/>
      </w:tblGrid>
      <w:tr w:rsidR="001A5FCA" w:rsidRPr="00FA628C" w:rsidTr="00F54BB6">
        <w:trPr>
          <w:trHeight w:val="298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Opakování kroků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Teplota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Doba trvání</w:t>
            </w:r>
          </w:p>
        </w:tc>
      </w:tr>
      <w:tr w:rsidR="001A5FCA" w:rsidRPr="00FA628C" w:rsidTr="00F54BB6">
        <w:trPr>
          <w:trHeight w:val="26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</w:t>
            </w:r>
            <w:r w:rsid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45 °C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10 minut</w:t>
            </w:r>
          </w:p>
        </w:tc>
      </w:tr>
      <w:tr w:rsidR="001A5FCA" w:rsidRPr="00FA628C" w:rsidTr="00F54BB6">
        <w:trPr>
          <w:trHeight w:val="264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x1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95 °C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10 minut</w:t>
            </w:r>
          </w:p>
        </w:tc>
      </w:tr>
      <w:tr w:rsidR="001A5FCA" w:rsidRPr="00FA628C" w:rsidTr="00F54BB6">
        <w:trPr>
          <w:trHeight w:val="264"/>
        </w:trPr>
        <w:tc>
          <w:tcPr>
            <w:tcW w:w="26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Krok 3</w:t>
            </w: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x45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95 °C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15 sekund</w:t>
            </w:r>
          </w:p>
        </w:tc>
      </w:tr>
      <w:tr w:rsidR="001A5FCA" w:rsidRPr="00FA628C" w:rsidTr="00F54BB6">
        <w:trPr>
          <w:trHeight w:val="278"/>
        </w:trPr>
        <w:tc>
          <w:tcPr>
            <w:tcW w:w="26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60 °C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1 minuta</w:t>
            </w:r>
          </w:p>
        </w:tc>
      </w:tr>
    </w:tbl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FA628C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FA628C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Sběr dat fluorescence během jednominutové fáze při teplotě 60 °C.</w:t>
      </w:r>
    </w:p>
    <w:p w:rsidR="001A5FCA" w:rsidRPr="00FA628C" w:rsidRDefault="001A5FCA" w:rsidP="003D148A">
      <w:pPr>
        <w:pStyle w:val="Odstavecseseznamem"/>
        <w:numPr>
          <w:ilvl w:val="0"/>
          <w:numId w:val="24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Vložte PCR destičku, PCR stripy nebo kapiláry do termocykleru a spusťte RT-PCR v reálném čase.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bookmarkStart w:id="16" w:name="bookmark16"/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Analýza výsledků</w:t>
      </w:r>
      <w:bookmarkEnd w:id="16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7" w:name="bookmark17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Analýza surových dat</w:t>
      </w:r>
      <w:bookmarkEnd w:id="17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Pro analýzu surových dat postupujte podle doporučení výrobce termocykléru.</w:t>
      </w:r>
    </w:p>
    <w:p w:rsidR="001A5FCA" w:rsidRPr="00FA628C" w:rsidRDefault="001A5FCA" w:rsidP="003D148A">
      <w:pPr>
        <w:pStyle w:val="Odstavecseseznamem"/>
        <w:numPr>
          <w:ilvl w:val="0"/>
          <w:numId w:val="2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Prahové limity nastavte odděleně pro každý cíl RT-PCR v reálném čase.</w:t>
      </w:r>
    </w:p>
    <w:p w:rsidR="001A5FCA" w:rsidRPr="00FA628C" w:rsidRDefault="001A5FCA" w:rsidP="003D148A">
      <w:pPr>
        <w:pStyle w:val="Odstavecseseznamem"/>
        <w:numPr>
          <w:ilvl w:val="0"/>
          <w:numId w:val="25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Pro každý detektor interpretujte výsledky podle hodnot Ct vzorku získaných podle doporučení níže.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Validace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Test je validován, pokud jsou splněna následující kritéria: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4"/>
        <w:gridCol w:w="3586"/>
        <w:gridCol w:w="3269"/>
        <w:gridCol w:w="2194"/>
      </w:tblGrid>
      <w:tr w:rsidR="001A5FCA" w:rsidRPr="00FA628C" w:rsidTr="00F54BB6">
        <w:trPr>
          <w:trHeight w:val="34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Detektor patogenu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IPC SRPR detektor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Validace</w:t>
            </w:r>
          </w:p>
        </w:tc>
      </w:tr>
      <w:tr w:rsidR="001A5FCA" w:rsidRPr="00FA628C" w:rsidTr="00F54BB6">
        <w:trPr>
          <w:trHeight w:val="34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EPC SRPR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proofErr w:type="spell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= </w:t>
            </w:r>
            <w:proofErr w:type="spellStart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>t</w:t>
            </w:r>
            <w:proofErr w:type="spell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 QC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proofErr w:type="spellStart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Pathogen</w:t>
            </w:r>
            <w:proofErr w:type="spell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4a</w:t>
            </w:r>
            <w:r w:rsid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 xml:space="preserve"> </w:t>
            </w: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- EPC SRPR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 xml:space="preserve"> ± 3</w:t>
            </w:r>
            <w:proofErr w:type="gramStart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Ct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</w:t>
            </w:r>
            <w:proofErr w:type="gramEnd"/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1)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&lt; 45 nebo 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45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(2)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RT-PCR validována</w:t>
            </w:r>
          </w:p>
        </w:tc>
      </w:tr>
      <w:tr w:rsidR="001A5FCA" w:rsidRPr="00FA628C" w:rsidTr="00F54BB6">
        <w:trPr>
          <w:trHeight w:val="33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NCS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Validováno pro extrakci</w:t>
            </w:r>
          </w:p>
        </w:tc>
      </w:tr>
      <w:tr w:rsidR="001A5FCA" w:rsidRPr="00FA628C" w:rsidTr="00F54BB6">
        <w:trPr>
          <w:trHeight w:val="35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NC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PCR složky validovány</w:t>
            </w:r>
          </w:p>
        </w:tc>
      </w:tr>
    </w:tbl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FA628C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FA628C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Viz hodnoty uvedené v oddílu 2.1 „EPC“, certifikátu o analýze šarže použité pro daný test.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FA628C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2)</w:t>
      </w:r>
      <w:r w:rsidRPr="00FA628C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Hodnota IPC v EPC by se neměla použít k validaci testu.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bookmarkStart w:id="18" w:name="bookmark18"/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Interpretace výsledků</w:t>
      </w:r>
      <w:bookmarkEnd w:id="18"/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Pro každý analyzovaný vzorek by měly být výsledky interpretovány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5"/>
        <w:gridCol w:w="3600"/>
        <w:gridCol w:w="3610"/>
      </w:tblGrid>
      <w:tr w:rsidR="001A5FCA" w:rsidRPr="00FA628C" w:rsidTr="00F54BB6">
        <w:trPr>
          <w:trHeight w:val="346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Detektor patogenu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IPC SRPR detektor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b/>
                <w:sz w:val="16"/>
                <w:szCs w:val="18"/>
                <w:lang w:bidi="cs-CZ"/>
              </w:rPr>
              <w:t>Interpretace</w:t>
            </w:r>
          </w:p>
        </w:tc>
      </w:tr>
      <w:tr w:rsidR="001A5FCA" w:rsidRPr="00FA628C" w:rsidTr="00F54BB6">
        <w:trPr>
          <w:trHeight w:val="341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&lt; 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&lt; 45 nebo 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Cílový patogen detekován</w:t>
            </w:r>
          </w:p>
        </w:tc>
      </w:tr>
      <w:tr w:rsidR="001A5FCA" w:rsidRPr="00FA628C" w:rsidTr="00F54BB6">
        <w:trPr>
          <w:trHeight w:val="336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&lt;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Cílový patogen nedetekován</w:t>
            </w:r>
          </w:p>
        </w:tc>
      </w:tr>
      <w:tr w:rsidR="001A5FCA" w:rsidRPr="00FA628C" w:rsidTr="00F54BB6">
        <w:trPr>
          <w:trHeight w:val="35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A5FCA" w:rsidRPr="00FA628C" w:rsidRDefault="004D6E36" w:rsidP="003D148A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C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bscript"/>
                <w:lang w:bidi="cs-CZ"/>
              </w:rPr>
              <w:t xml:space="preserve">t 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&gt; 45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FCA" w:rsidRPr="00FA628C" w:rsidRDefault="001A5FCA" w:rsidP="004D6E36">
            <w:pPr>
              <w:spacing w:line="276" w:lineRule="auto"/>
              <w:rPr>
                <w:rFonts w:asciiTheme="minorHAnsi" w:hAnsiTheme="minorHAnsi" w:cstheme="minorHAnsi"/>
                <w:sz w:val="16"/>
                <w:szCs w:val="18"/>
              </w:rPr>
            </w:pP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lang w:bidi="cs-CZ"/>
              </w:rPr>
              <w:t>Nevalidováno</w:t>
            </w:r>
            <w:r w:rsidRPr="00FA628C">
              <w:rPr>
                <w:rFonts w:asciiTheme="minorHAnsi" w:eastAsia="Arial Narrow" w:hAnsiTheme="minorHAnsi" w:cstheme="minorHAnsi"/>
                <w:sz w:val="16"/>
                <w:szCs w:val="18"/>
                <w:vertAlign w:val="superscript"/>
                <w:lang w:bidi="cs-CZ"/>
              </w:rPr>
              <w:t>(1)</w:t>
            </w:r>
          </w:p>
        </w:tc>
      </w:tr>
    </w:tbl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6"/>
          <w:szCs w:val="18"/>
        </w:rPr>
      </w:pPr>
      <w:r w:rsidRPr="00FA628C">
        <w:rPr>
          <w:rFonts w:asciiTheme="minorHAnsi" w:eastAsia="Arial Narrow" w:hAnsiTheme="minorHAnsi" w:cstheme="minorHAnsi"/>
          <w:sz w:val="16"/>
          <w:szCs w:val="18"/>
          <w:vertAlign w:val="superscript"/>
          <w:lang w:bidi="cs-CZ"/>
        </w:rPr>
        <w:t>(1)</w:t>
      </w:r>
      <w:r w:rsidRPr="00FA628C">
        <w:rPr>
          <w:rFonts w:asciiTheme="minorHAnsi" w:eastAsia="Arial Narrow" w:hAnsiTheme="minorHAnsi" w:cstheme="minorHAnsi"/>
          <w:sz w:val="16"/>
          <w:szCs w:val="18"/>
          <w:lang w:bidi="cs-CZ"/>
        </w:rPr>
        <w:t xml:space="preserve"> Vzorek bude vrácen jako nevalidovaný z důvodu negativní IPC.</w:t>
      </w:r>
    </w:p>
    <w:p w:rsidR="004D6E36" w:rsidRPr="00FA628C" w:rsidRDefault="004D6E36">
      <w:pPr>
        <w:rPr>
          <w:rFonts w:asciiTheme="minorHAnsi" w:hAnsiTheme="minorHAnsi" w:cstheme="minorHAnsi"/>
          <w:sz w:val="18"/>
          <w:szCs w:val="18"/>
        </w:rPr>
      </w:pPr>
    </w:p>
    <w:p w:rsidR="004D6E36" w:rsidRPr="00FA628C" w:rsidRDefault="004D6E36">
      <w:pPr>
        <w:rPr>
          <w:rFonts w:asciiTheme="minorHAnsi" w:hAnsiTheme="minorHAnsi" w:cstheme="minorHAnsi"/>
          <w:sz w:val="18"/>
          <w:szCs w:val="18"/>
        </w:rPr>
        <w:sectPr w:rsidR="004D6E36" w:rsidRPr="00FA628C" w:rsidSect="003D14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4"/>
          <w:pgMar w:top="568" w:right="427" w:bottom="709" w:left="567" w:header="0" w:footer="3" w:gutter="0"/>
          <w:cols w:space="720"/>
          <w:noEndnote/>
          <w:titlePg/>
          <w:docGrid w:linePitch="360"/>
        </w:sectPr>
      </w:pP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b/>
          <w:sz w:val="20"/>
          <w:szCs w:val="18"/>
        </w:rPr>
      </w:pPr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lastRenderedPageBreak/>
        <w:t>Postup pro zacházení s nevalidovanými vzorky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Pokud vzorek není validován pouze pro určité mixy:</w:t>
      </w:r>
    </w:p>
    <w:p w:rsidR="001A5FCA" w:rsidRPr="00FA628C" w:rsidRDefault="001A5FCA" w:rsidP="003D148A">
      <w:pPr>
        <w:pStyle w:val="Odstavecseseznamem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Proveďte novou analýzu RT-PCR na 5 μL vzorku čisté nukleové kyseliny za použití dotyčných mixů.</w:t>
      </w:r>
    </w:p>
    <w:p w:rsidR="001A5FCA" w:rsidRPr="00FA628C" w:rsidRDefault="001A5FCA" w:rsidP="003D148A">
      <w:pPr>
        <w:pStyle w:val="Odstavecseseznamem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Pro každý mix platí: je-li nukleová kyselina pozitivní na patogen nebo negativní na patogen s vyhovujícím výsledkem IPC, je získaný výsledek validován pro daný mix.</w:t>
      </w:r>
    </w:p>
    <w:p w:rsidR="001A5FCA" w:rsidRPr="00FA628C" w:rsidRDefault="001A5FCA" w:rsidP="003D148A">
      <w:pPr>
        <w:pStyle w:val="Odstavecseseznamem"/>
        <w:numPr>
          <w:ilvl w:val="0"/>
          <w:numId w:val="27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Pokud výsledek stále není validován pro určité mixy, nařeďte nukleovou kyselinu, jak je popsáno níže (v případě vzorku nevalidovaného pro všechny mixy), ale dodržujte tento postup pouze pro příslušné mixy.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Pokud vzorek není validován pro všechny mixy:</w:t>
      </w:r>
    </w:p>
    <w:p w:rsidR="001A5FCA" w:rsidRPr="00FA628C" w:rsidRDefault="001A5FCA" w:rsidP="003D148A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Nařeďte nukleovou kyselinu nevalidovaného vzorku v poměru 1 : 10 pomocí 1X TE pufru.</w:t>
      </w:r>
    </w:p>
    <w:p w:rsidR="001A5FCA" w:rsidRPr="00FA628C" w:rsidRDefault="001A5FCA" w:rsidP="003D148A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Proveďte RT-PCR analýzu na 5 μl tohoto ředění.</w:t>
      </w:r>
    </w:p>
    <w:p w:rsidR="001A5FCA" w:rsidRPr="00FA628C" w:rsidRDefault="001A5FCA" w:rsidP="003D148A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Pokud je dané ředění pozitivní nebo negativní na cílový patogen s vyhovujícím výsledkem IPC, je získaný výsledek validován pro dotyčný mix.</w:t>
      </w:r>
    </w:p>
    <w:p w:rsidR="001A5FCA" w:rsidRPr="00FA628C" w:rsidRDefault="001A5FCA" w:rsidP="003D148A">
      <w:pPr>
        <w:pStyle w:val="Odstavecseseznamem"/>
        <w:numPr>
          <w:ilvl w:val="0"/>
          <w:numId w:val="29"/>
        </w:numPr>
        <w:spacing w:line="276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Pokud výsledek stále není validován pro určité mixy, extrahujte vzorek znovu s předběžným naředěním 1 : 10 v 1X PBS pufru před extrakcí a znovu testujte všechny použité mixy.</w:t>
      </w:r>
    </w:p>
    <w:p w:rsidR="001A5FCA" w:rsidRPr="00FA628C" w:rsidRDefault="001A5FC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D148A" w:rsidRPr="00FA628C" w:rsidRDefault="003D148A" w:rsidP="003D148A">
      <w:pPr>
        <w:spacing w:line="276" w:lineRule="auto"/>
        <w:outlineLvl w:val="2"/>
        <w:rPr>
          <w:rFonts w:asciiTheme="minorHAnsi" w:hAnsiTheme="minorHAnsi" w:cstheme="minorHAnsi"/>
          <w:b/>
          <w:szCs w:val="18"/>
        </w:rPr>
      </w:pP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Dokumentace a podpora</w:t>
      </w:r>
    </w:p>
    <w:p w:rsidR="003D148A" w:rsidRPr="00FA628C" w:rsidRDefault="003D148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D148A" w:rsidRPr="00FA628C" w:rsidRDefault="003D148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  <w:sectPr w:rsidR="003D148A" w:rsidRPr="00FA628C" w:rsidSect="004D6E36">
          <w:footerReference w:type="first" r:id="rId15"/>
          <w:pgSz w:w="11909" w:h="16834"/>
          <w:pgMar w:top="568" w:right="427" w:bottom="709" w:left="567" w:header="0" w:footer="3" w:gutter="0"/>
          <w:cols w:space="720"/>
          <w:noEndnote/>
          <w:titlePg/>
          <w:docGrid w:linePitch="360"/>
        </w:sectPr>
      </w:pPr>
    </w:p>
    <w:p w:rsidR="003D148A" w:rsidRPr="00FA628C" w:rsidRDefault="003D148A" w:rsidP="003D148A">
      <w:pPr>
        <w:spacing w:line="276" w:lineRule="auto"/>
        <w:outlineLvl w:val="3"/>
        <w:rPr>
          <w:rFonts w:asciiTheme="minorHAnsi" w:hAnsiTheme="minorHAnsi" w:cstheme="minorHAnsi"/>
          <w:b/>
          <w:sz w:val="20"/>
          <w:szCs w:val="18"/>
        </w:rPr>
      </w:pPr>
      <w:r w:rsidRPr="00FA628C">
        <w:rPr>
          <w:rFonts w:asciiTheme="minorHAnsi" w:eastAsia="Arial Narrow" w:hAnsiTheme="minorHAnsi" w:cstheme="minorHAnsi"/>
          <w:b/>
          <w:sz w:val="20"/>
          <w:szCs w:val="18"/>
          <w:lang w:bidi="cs-CZ"/>
        </w:rPr>
        <w:t>Zákaznická a technická podpora</w:t>
      </w:r>
    </w:p>
    <w:p w:rsidR="003D148A" w:rsidRPr="00FA628C" w:rsidRDefault="003D148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Technická podpora: navštivte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>thermofisher.com/askaquestion</w:t>
      </w:r>
    </w:p>
    <w:p w:rsidR="003D148A" w:rsidRPr="00FA628C" w:rsidRDefault="003D148A" w:rsidP="003D148A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 xml:space="preserve">Navštivte </w:t>
      </w:r>
      <w:r w:rsidRPr="00FA628C">
        <w:rPr>
          <w:rFonts w:asciiTheme="minorHAnsi" w:eastAsia="Times New Roman" w:hAnsiTheme="minorHAnsi" w:cstheme="minorHAnsi"/>
          <w:b/>
          <w:sz w:val="18"/>
          <w:szCs w:val="18"/>
          <w:lang w:bidi="cs-CZ"/>
        </w:rPr>
        <w:t xml:space="preserve">thermofisher.com/support 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pro nejnovější služby a podporu:</w:t>
      </w:r>
    </w:p>
    <w:p w:rsidR="003D148A" w:rsidRPr="00FA628C" w:rsidRDefault="003D148A" w:rsidP="003D148A">
      <w:pPr>
        <w:pStyle w:val="Odstavecseseznamem"/>
        <w:numPr>
          <w:ilvl w:val="0"/>
          <w:numId w:val="10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Mezinárodní kontaktní telefonní čísla</w:t>
      </w:r>
    </w:p>
    <w:p w:rsidR="003D148A" w:rsidRPr="00FA628C" w:rsidRDefault="003D148A" w:rsidP="003D148A">
      <w:pPr>
        <w:pStyle w:val="Odstavecseseznamem"/>
        <w:numPr>
          <w:ilvl w:val="0"/>
          <w:numId w:val="10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Objednávková a webová podpora</w:t>
      </w:r>
    </w:p>
    <w:p w:rsidR="003D148A" w:rsidRPr="00FA628C" w:rsidRDefault="003D148A" w:rsidP="003D148A">
      <w:pPr>
        <w:pStyle w:val="Odstavecseseznamem"/>
        <w:numPr>
          <w:ilvl w:val="0"/>
          <w:numId w:val="10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Uživatelské příručky, manuály a protokoly</w:t>
      </w:r>
    </w:p>
    <w:p w:rsidR="003D148A" w:rsidRPr="00FA628C" w:rsidRDefault="003D148A" w:rsidP="003D148A">
      <w:pPr>
        <w:pStyle w:val="Odstavecseseznamem"/>
        <w:numPr>
          <w:ilvl w:val="0"/>
          <w:numId w:val="10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Osvědčení o analýze</w:t>
      </w:r>
    </w:p>
    <w:p w:rsidR="003D148A" w:rsidRPr="00FA628C" w:rsidRDefault="003D148A" w:rsidP="003D148A">
      <w:pPr>
        <w:pStyle w:val="Odstavecseseznamem"/>
        <w:numPr>
          <w:ilvl w:val="0"/>
          <w:numId w:val="10"/>
        </w:numPr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Bezpečnostní listy (BL; známé také jako MSDS)</w:t>
      </w:r>
    </w:p>
    <w:p w:rsidR="003D148A" w:rsidRPr="00FA628C" w:rsidRDefault="003D148A" w:rsidP="003D148A">
      <w:pPr>
        <w:pStyle w:val="Odstavecseseznamem"/>
        <w:spacing w:line="276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FA628C">
        <w:rPr>
          <w:rFonts w:asciiTheme="minorHAnsi" w:eastAsia="Arial Narrow" w:hAnsiTheme="minorHAnsi" w:cstheme="minorHAnsi"/>
          <w:b/>
          <w:sz w:val="18"/>
          <w:szCs w:val="18"/>
          <w:lang w:bidi="cs-CZ"/>
        </w:rPr>
        <w:t>POZNÁMKA</w:t>
      </w:r>
      <w:r w:rsidRPr="00FA628C">
        <w:rPr>
          <w:rFonts w:asciiTheme="minorHAnsi" w:eastAsia="Times New Roman" w:hAnsiTheme="minorHAnsi" w:cstheme="minorHAnsi"/>
          <w:sz w:val="18"/>
          <w:szCs w:val="18"/>
          <w:lang w:bidi="cs-CZ"/>
        </w:rPr>
        <w:t>: Pokud chcete získat bezpečnostní listy pro chemické látky jiných výrobců, kontaktujte výrobce.</w:t>
      </w:r>
    </w:p>
    <w:p w:rsidR="003D148A" w:rsidRPr="00055ACA" w:rsidRDefault="003D148A" w:rsidP="00B0118D">
      <w:pPr>
        <w:spacing w:line="276" w:lineRule="auto"/>
        <w:outlineLvl w:val="3"/>
        <w:rPr>
          <w:rFonts w:ascii="Times New Roman" w:hAnsi="Times New Roman" w:cs="Times New Roman"/>
          <w:sz w:val="18"/>
          <w:szCs w:val="18"/>
        </w:rPr>
      </w:pPr>
      <w:r>
        <w:rPr>
          <w:rFonts w:ascii="Arial Narrow" w:eastAsia="Arial Narrow" w:hAnsi="Arial Narrow" w:cs="Arial Narrow"/>
          <w:b/>
          <w:sz w:val="20"/>
          <w:szCs w:val="18"/>
          <w:lang w:bidi="cs-CZ"/>
        </w:rPr>
        <w:br w:type="column"/>
      </w:r>
    </w:p>
    <w:p w:rsidR="003D148A" w:rsidRDefault="003D148A" w:rsidP="003D148A">
      <w:pPr>
        <w:spacing w:line="276" w:lineRule="auto"/>
        <w:rPr>
          <w:rFonts w:ascii="Arial Narrow" w:hAnsi="Arial Narrow"/>
          <w:sz w:val="18"/>
          <w:szCs w:val="18"/>
        </w:rPr>
        <w:sectPr w:rsidR="003D148A" w:rsidSect="00EE7D08">
          <w:type w:val="continuous"/>
          <w:pgSz w:w="11909" w:h="16834"/>
          <w:pgMar w:top="568" w:right="427" w:bottom="709" w:left="567" w:header="0" w:footer="3" w:gutter="0"/>
          <w:cols w:num="2" w:space="425"/>
          <w:noEndnote/>
          <w:titlePg/>
          <w:docGrid w:linePitch="360"/>
        </w:sectPr>
      </w:pPr>
    </w:p>
    <w:p w:rsidR="001A5FCA" w:rsidRDefault="001A5FCA" w:rsidP="003D148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bookmarkEnd w:id="0"/>
    <w:p w:rsidR="00A53B9C" w:rsidRPr="00135AA6" w:rsidRDefault="00A53B9C" w:rsidP="003D148A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sectPr w:rsidR="00A53B9C" w:rsidRPr="00135AA6" w:rsidSect="001A5FCA">
      <w:footerReference w:type="even" r:id="rId16"/>
      <w:footerReference w:type="default" r:id="rId17"/>
      <w:footerReference w:type="first" r:id="rId18"/>
      <w:type w:val="continuous"/>
      <w:pgSz w:w="11909" w:h="16834"/>
      <w:pgMar w:top="568" w:right="427" w:bottom="709" w:left="56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1B4" w:rsidRDefault="00B701B4">
      <w:r>
        <w:separator/>
      </w:r>
    </w:p>
  </w:endnote>
  <w:endnote w:type="continuationSeparator" w:id="0">
    <w:p w:rsidR="00B701B4" w:rsidRDefault="00B70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376"/>
      <w:gridCol w:w="5616"/>
    </w:tblGrid>
    <w:tr w:rsidR="004D6E36" w:rsidRPr="00C25380" w:rsidTr="00CC353B">
      <w:trPr>
        <w:trHeight w:val="298"/>
      </w:trPr>
      <w:tc>
        <w:tcPr>
          <w:tcW w:w="5376" w:type="dxa"/>
          <w:shd w:val="clear" w:color="auto" w:fill="FFFFFF"/>
          <w:vAlign w:val="bottom"/>
        </w:tcPr>
        <w:p w:rsidR="004D6E36" w:rsidRPr="00C25380" w:rsidRDefault="004D6E36" w:rsidP="00CC353B">
          <w:pPr>
            <w:spacing w:line="276" w:lineRule="auto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B0118D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2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  <w:tc>
        <w:tcPr>
          <w:tcW w:w="5616" w:type="dxa"/>
          <w:shd w:val="clear" w:color="auto" w:fill="FFFFFF"/>
          <w:vAlign w:val="center"/>
        </w:tcPr>
        <w:p w:rsidR="004D6E36" w:rsidRPr="004D6E36" w:rsidRDefault="004D6E36" w:rsidP="004D6E36">
          <w:pPr>
            <w:spacing w:line="276" w:lineRule="auto"/>
            <w:jc w:val="right"/>
            <w:rPr>
              <w:rFonts w:ascii="Arial Narrow" w:hAnsi="Arial Narrow" w:cs="Times New Roman"/>
              <w:i/>
              <w:sz w:val="18"/>
              <w:szCs w:val="18"/>
            </w:rPr>
          </w:pPr>
        </w:p>
      </w:tc>
    </w:tr>
  </w:tbl>
  <w:p w:rsidR="004D6E36" w:rsidRDefault="004D6E36">
    <w:pPr>
      <w:pStyle w:val="Zpat"/>
    </w:pPr>
  </w:p>
  <w:p w:rsidR="004D6E36" w:rsidRPr="004D6E36" w:rsidRDefault="004D6E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176"/>
      <w:gridCol w:w="3610"/>
    </w:tblGrid>
    <w:tr w:rsidR="004D6E36" w:rsidRPr="00C25380" w:rsidTr="00CC353B">
      <w:trPr>
        <w:trHeight w:val="230"/>
      </w:trPr>
      <w:tc>
        <w:tcPr>
          <w:tcW w:w="7176" w:type="dxa"/>
          <w:shd w:val="clear" w:color="auto" w:fill="FFFFFF"/>
        </w:tcPr>
        <w:p w:rsidR="004D6E36" w:rsidRPr="000D4622" w:rsidRDefault="004D6E36" w:rsidP="00CC353B">
          <w:pPr>
            <w:spacing w:line="276" w:lineRule="auto"/>
            <w:rPr>
              <w:rFonts w:ascii="Arial Narrow" w:hAnsi="Arial Narrow"/>
              <w:i/>
              <w:sz w:val="18"/>
              <w:szCs w:val="18"/>
            </w:rPr>
          </w:pPr>
        </w:p>
      </w:tc>
      <w:tc>
        <w:tcPr>
          <w:tcW w:w="3610" w:type="dxa"/>
          <w:shd w:val="clear" w:color="auto" w:fill="FFFFFF"/>
        </w:tcPr>
        <w:p w:rsidR="004D6E36" w:rsidRPr="00C25380" w:rsidRDefault="004D6E36" w:rsidP="00CC353B">
          <w:pPr>
            <w:spacing w:line="276" w:lineRule="auto"/>
            <w:jc w:val="right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B0118D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3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</w:tr>
  </w:tbl>
  <w:p w:rsidR="004D6E36" w:rsidRDefault="004D6E36">
    <w:pPr>
      <w:pStyle w:val="Zpat"/>
    </w:pPr>
  </w:p>
  <w:p w:rsidR="004D6E36" w:rsidRPr="004D6E36" w:rsidRDefault="004D6E3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36" w:rsidRPr="00C25380" w:rsidRDefault="004D6E36" w:rsidP="004D6E36">
    <w:pPr>
      <w:outlineLvl w:val="3"/>
      <w:rPr>
        <w:rFonts w:ascii="Arial Narrow" w:hAnsi="Arial Narrow"/>
        <w:b/>
        <w:sz w:val="18"/>
        <w:szCs w:val="18"/>
      </w:rPr>
    </w:pPr>
  </w:p>
  <w:p w:rsidR="003D148A" w:rsidRDefault="003D148A" w:rsidP="00055ACA">
    <w:pPr>
      <w:outlineLvl w:val="3"/>
    </w:pPr>
  </w:p>
  <w:p w:rsidR="003D148A" w:rsidRDefault="003D148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E36" w:rsidRDefault="004D6E36" w:rsidP="00055ACA">
    <w:pPr>
      <w:outlineLvl w:val="3"/>
    </w:pPr>
  </w:p>
  <w:p w:rsidR="004D6E36" w:rsidRDefault="004D6E3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376"/>
      <w:gridCol w:w="5616"/>
    </w:tblGrid>
    <w:tr w:rsidR="00330583" w:rsidRPr="00C25380" w:rsidTr="009E4863">
      <w:trPr>
        <w:trHeight w:val="298"/>
      </w:trPr>
      <w:tc>
        <w:tcPr>
          <w:tcW w:w="5376" w:type="dxa"/>
          <w:shd w:val="clear" w:color="auto" w:fill="FFFFFF"/>
          <w:vAlign w:val="bottom"/>
        </w:tcPr>
        <w:p w:rsidR="00330583" w:rsidRPr="00C25380" w:rsidRDefault="00330583" w:rsidP="009E4863">
          <w:pPr>
            <w:spacing w:line="276" w:lineRule="auto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BF47E2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0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  <w:tc>
        <w:tcPr>
          <w:tcW w:w="5616" w:type="dxa"/>
          <w:shd w:val="clear" w:color="auto" w:fill="FFFFFF"/>
          <w:vAlign w:val="center"/>
        </w:tcPr>
        <w:p w:rsidR="00330583" w:rsidRPr="009A490E" w:rsidRDefault="00330583" w:rsidP="009E4863">
          <w:pPr>
            <w:spacing w:line="276" w:lineRule="auto"/>
            <w:jc w:val="right"/>
            <w:rPr>
              <w:rFonts w:ascii="Arial Narrow" w:hAnsi="Arial Narrow"/>
              <w:i/>
              <w:sz w:val="18"/>
              <w:szCs w:val="18"/>
            </w:rPr>
          </w:pPr>
          <w:r w:rsidRPr="00330583">
            <w:rPr>
              <w:rFonts w:ascii="Times New Roman" w:eastAsia="Times New Roman" w:hAnsi="Times New Roman" w:cs="Times New Roman"/>
              <w:i/>
              <w:sz w:val="18"/>
              <w:szCs w:val="18"/>
              <w:lang w:bidi="cs-CZ"/>
            </w:rPr>
            <w:t>Souprava VetMAX™ Porcine Parvovirus Návod k použití</w:t>
          </w:r>
        </w:p>
      </w:tc>
    </w:tr>
  </w:tbl>
  <w:p w:rsidR="00991A83" w:rsidRDefault="00991A83">
    <w:pPr>
      <w:pStyle w:val="Zpat"/>
    </w:pPr>
  </w:p>
  <w:p w:rsidR="002C1EF3" w:rsidRDefault="002C1EF3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Ind w:w="1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176"/>
      <w:gridCol w:w="3610"/>
    </w:tblGrid>
    <w:tr w:rsidR="00330583" w:rsidRPr="00C25380" w:rsidTr="009E4863">
      <w:trPr>
        <w:trHeight w:val="230"/>
      </w:trPr>
      <w:tc>
        <w:tcPr>
          <w:tcW w:w="7176" w:type="dxa"/>
          <w:shd w:val="clear" w:color="auto" w:fill="FFFFFF"/>
        </w:tcPr>
        <w:p w:rsidR="00330583" w:rsidRPr="00330583" w:rsidRDefault="00330583" w:rsidP="009E4863">
          <w:pPr>
            <w:spacing w:line="276" w:lineRule="auto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30583">
            <w:rPr>
              <w:rFonts w:ascii="Times New Roman" w:eastAsia="Times New Roman" w:hAnsi="Times New Roman" w:cs="Times New Roman"/>
              <w:i/>
              <w:sz w:val="18"/>
              <w:szCs w:val="18"/>
              <w:lang w:bidi="cs-CZ"/>
            </w:rPr>
            <w:t>Souprava VetMAX™ Porcine Parvovirus Návod k použití</w:t>
          </w:r>
        </w:p>
      </w:tc>
      <w:tc>
        <w:tcPr>
          <w:tcW w:w="3610" w:type="dxa"/>
          <w:shd w:val="clear" w:color="auto" w:fill="FFFFFF"/>
        </w:tcPr>
        <w:p w:rsidR="00330583" w:rsidRPr="00C25380" w:rsidRDefault="00330583" w:rsidP="009E4863">
          <w:pPr>
            <w:spacing w:line="276" w:lineRule="auto"/>
            <w:jc w:val="right"/>
            <w:rPr>
              <w:rFonts w:ascii="Arial Narrow" w:hAnsi="Arial Narrow"/>
              <w:sz w:val="18"/>
              <w:szCs w:val="18"/>
            </w:rPr>
          </w:pP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begin"/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instrText>PAGE   \* MERGEFORMAT</w:instrTex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separate"/>
          </w:r>
          <w:r w:rsidR="0022542D">
            <w:rPr>
              <w:rFonts w:ascii="Arial Narrow" w:eastAsia="Arial Narrow" w:hAnsi="Arial Narrow" w:cs="Arial Narrow"/>
              <w:noProof/>
              <w:sz w:val="18"/>
              <w:szCs w:val="18"/>
              <w:lang w:bidi="cs-CZ"/>
            </w:rPr>
            <w:t>5</w:t>
          </w:r>
          <w:r w:rsidRPr="009A490E">
            <w:rPr>
              <w:rFonts w:ascii="Arial Narrow" w:eastAsia="Arial Narrow" w:hAnsi="Arial Narrow" w:cs="Arial Narrow"/>
              <w:sz w:val="18"/>
              <w:szCs w:val="18"/>
              <w:lang w:bidi="cs-CZ"/>
            </w:rPr>
            <w:fldChar w:fldCharType="end"/>
          </w:r>
        </w:p>
      </w:tc>
    </w:tr>
  </w:tbl>
  <w:p w:rsidR="00330583" w:rsidRDefault="00330583">
    <w:pPr>
      <w:pStyle w:val="Zpat"/>
    </w:pPr>
  </w:p>
  <w:p w:rsidR="002C1EF3" w:rsidRDefault="002C1EF3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CEA" w:rsidRPr="00C25380" w:rsidRDefault="00783CEA" w:rsidP="00783CEA">
    <w:pPr>
      <w:outlineLvl w:val="3"/>
      <w:rPr>
        <w:rFonts w:ascii="Arial Narrow" w:hAnsi="Arial Narrow"/>
        <w:b/>
        <w:sz w:val="18"/>
        <w:szCs w:val="18"/>
      </w:rPr>
    </w:pPr>
    <w:r>
      <w:rPr>
        <w:noProof/>
        <w:lang w:val="en-US" w:bidi="ar-SA"/>
      </w:rPr>
      <w:drawing>
        <wp:anchor distT="0" distB="0" distL="114300" distR="114300" simplePos="0" relativeHeight="251659264" behindDoc="0" locked="0" layoutInCell="1" allowOverlap="1" wp14:anchorId="32C8D17D" wp14:editId="5D197A28">
          <wp:simplePos x="0" y="0"/>
          <wp:positionH relativeFrom="column">
            <wp:posOffset>5854907</wp:posOffset>
          </wp:positionH>
          <wp:positionV relativeFrom="paragraph">
            <wp:posOffset>-22529</wp:posOffset>
          </wp:positionV>
          <wp:extent cx="1003935" cy="238760"/>
          <wp:effectExtent l="0" t="0" r="5715" b="8890"/>
          <wp:wrapNone/>
          <wp:docPr id="3" name="Obrázek 3" descr="C:\Users\uzivatel\AppData\Local\Temp\FineReader11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ivatel\AppData\Local\Temp\FineReader11.00\media\image1.jpe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380">
      <w:rPr>
        <w:rFonts w:ascii="Arial Narrow" w:eastAsia="Arial Narrow" w:hAnsi="Arial Narrow" w:cs="Arial Narrow"/>
        <w:b/>
        <w:sz w:val="18"/>
        <w:szCs w:val="18"/>
        <w:lang w:bidi="cs-CZ"/>
      </w:rPr>
      <w:t>Jen pro veterinární použití. Jen pro použití in vitro.</w:t>
    </w:r>
  </w:p>
  <w:p w:rsidR="00783CEA" w:rsidRDefault="00783CEA" w:rsidP="00783CEA">
    <w:pPr>
      <w:pStyle w:val="Zpat"/>
    </w:pPr>
  </w:p>
  <w:p w:rsidR="00783CEA" w:rsidRDefault="00783C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1B4" w:rsidRDefault="00B701B4"/>
  </w:footnote>
  <w:footnote w:type="continuationSeparator" w:id="0">
    <w:p w:rsidR="00B701B4" w:rsidRDefault="00B701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64" w:rsidRDefault="004B16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64" w:rsidRDefault="004B16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542D" w:rsidRDefault="0022542D" w:rsidP="0022542D">
    <w:pPr>
      <w:pStyle w:val="Zhlav"/>
      <w:jc w:val="center"/>
      <w:rPr>
        <w:rFonts w:ascii="Arial" w:hAnsi="Arial" w:cs="Arial"/>
        <w:color w:val="FF0000"/>
        <w:sz w:val="20"/>
        <w:szCs w:val="20"/>
      </w:rPr>
    </w:pPr>
  </w:p>
  <w:p w:rsidR="0022542D" w:rsidRDefault="0022542D" w:rsidP="0022542D">
    <w:pPr>
      <w:pStyle w:val="Zhlav"/>
      <w:jc w:val="center"/>
      <w:rPr>
        <w:rFonts w:ascii="Arial" w:hAnsi="Arial" w:cs="Arial"/>
        <w:color w:val="FF0000"/>
        <w:sz w:val="20"/>
        <w:szCs w:val="20"/>
      </w:rPr>
    </w:pPr>
  </w:p>
  <w:p w:rsidR="0022542D" w:rsidRDefault="0022542D" w:rsidP="0022542D">
    <w:pPr>
      <w:pStyle w:val="Zhlav"/>
      <w:jc w:val="center"/>
      <w:rPr>
        <w:rFonts w:ascii="Arial" w:eastAsia="Arial" w:hAnsi="Arial" w:cs="Arial"/>
        <w:color w:val="FF0000"/>
        <w:sz w:val="22"/>
        <w:szCs w:val="18"/>
        <w:lang w:bidi="cs-CZ"/>
      </w:rPr>
    </w:pPr>
  </w:p>
  <w:p w:rsidR="0022542D" w:rsidRPr="00FA628C" w:rsidRDefault="00FA628C" w:rsidP="00FA628C">
    <w:pPr>
      <w:widowControl/>
      <w:suppressAutoHyphens/>
      <w:autoSpaceDN w:val="0"/>
      <w:spacing w:after="160" w:line="247" w:lineRule="auto"/>
      <w:jc w:val="both"/>
      <w:textAlignment w:val="baseline"/>
      <w:rPr>
        <w:rFonts w:ascii="Calibri" w:eastAsia="Calibri" w:hAnsi="Calibri" w:cs="Times New Roman"/>
        <w:b/>
        <w:bCs/>
        <w:color w:val="auto"/>
        <w:sz w:val="22"/>
        <w:szCs w:val="22"/>
        <w:lang w:val="en-US" w:bidi="ar-SA"/>
      </w:rPr>
    </w:pPr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Text </w:t>
    </w:r>
    <w:proofErr w:type="spellStart"/>
    <w:r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návodu</w:t>
    </w:r>
    <w:proofErr w:type="spellEnd"/>
    <w:r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 k </w:t>
    </w:r>
    <w:proofErr w:type="spellStart"/>
    <w:r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použití</w:t>
    </w:r>
    <w:proofErr w:type="spellEnd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 </w:t>
    </w:r>
    <w:proofErr w:type="spellStart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součást</w:t>
    </w:r>
    <w:proofErr w:type="spellEnd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 </w:t>
    </w:r>
    <w:proofErr w:type="spellStart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dokumentace</w:t>
    </w:r>
    <w:proofErr w:type="spellEnd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 </w:t>
    </w:r>
    <w:proofErr w:type="spellStart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schválené</w:t>
    </w:r>
    <w:proofErr w:type="spellEnd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 </w:t>
    </w:r>
    <w:proofErr w:type="spellStart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rozhodnutím</w:t>
    </w:r>
    <w:proofErr w:type="spellEnd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 </w:t>
    </w:r>
    <w:proofErr w:type="spellStart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sp.zn</w:t>
    </w:r>
    <w:proofErr w:type="spellEnd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. </w:t>
    </w:r>
    <w:sdt>
      <w:sdtPr>
        <w:rPr>
          <w:rFonts w:ascii="Calibri" w:eastAsia="Calibri" w:hAnsi="Calibri" w:cs="Times New Roman"/>
          <w:bCs/>
          <w:color w:val="auto"/>
          <w:sz w:val="22"/>
          <w:szCs w:val="22"/>
          <w:lang w:val="en-US" w:bidi="ar-SA"/>
        </w:rPr>
        <w:id w:val="1980487294"/>
        <w:placeholder>
          <w:docPart w:val="737F3D8020DA416D9F4642727B19CF6F"/>
        </w:placeholder>
        <w:text/>
      </w:sdtPr>
      <w:sdtEndPr/>
      <w:sdtContent>
        <w:r w:rsidRPr="00FA628C">
          <w:rPr>
            <w:rFonts w:ascii="Calibri" w:eastAsia="Calibri" w:hAnsi="Calibri" w:cs="Times New Roman"/>
            <w:bCs/>
            <w:color w:val="auto"/>
            <w:sz w:val="22"/>
            <w:szCs w:val="22"/>
            <w:lang w:val="en-US" w:bidi="ar-SA"/>
          </w:rPr>
          <w:t>USKVBL/15058/2024/POD</w:t>
        </w:r>
      </w:sdtContent>
    </w:sdt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, </w:t>
    </w:r>
    <w:proofErr w:type="spellStart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č.j</w:t>
    </w:r>
    <w:proofErr w:type="spellEnd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. </w:t>
    </w:r>
    <w:sdt>
      <w:sdtPr>
        <w:rPr>
          <w:rFonts w:ascii="Calibri" w:eastAsia="Calibri" w:hAnsi="Calibri" w:cs="Times New Roman"/>
          <w:bCs/>
          <w:color w:val="auto"/>
          <w:sz w:val="22"/>
          <w:szCs w:val="22"/>
          <w:lang w:val="en-US" w:bidi="ar-SA"/>
        </w:rPr>
        <w:id w:val="473950226"/>
        <w:placeholder>
          <w:docPart w:val="737F3D8020DA416D9F4642727B19CF6F"/>
        </w:placeholder>
        <w:text/>
      </w:sdtPr>
      <w:sdtContent>
        <w:r w:rsidR="004B1664" w:rsidRPr="004B1664">
          <w:rPr>
            <w:rFonts w:ascii="Calibri" w:eastAsia="Calibri" w:hAnsi="Calibri" w:cs="Times New Roman"/>
            <w:bCs/>
            <w:color w:val="auto"/>
            <w:sz w:val="22"/>
            <w:szCs w:val="22"/>
            <w:lang w:val="en-US" w:bidi="ar-SA"/>
          </w:rPr>
          <w:t>USKVBL/280/2025/REG-Gro</w:t>
        </w:r>
      </w:sdtContent>
    </w:sdt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 ze </w:t>
    </w:r>
    <w:proofErr w:type="spellStart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>dne</w:t>
    </w:r>
    <w:proofErr w:type="spellEnd"/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 </w:t>
    </w:r>
    <w:sdt>
      <w:sdtPr>
        <w:rPr>
          <w:rFonts w:ascii="Calibri" w:eastAsia="Calibri" w:hAnsi="Calibri" w:cs="Times New Roman"/>
          <w:bCs/>
          <w:color w:val="auto"/>
          <w:sz w:val="22"/>
          <w:szCs w:val="22"/>
          <w:lang w:val="en-US" w:bidi="ar-SA"/>
        </w:rPr>
        <w:id w:val="1763483650"/>
        <w:placeholder>
          <w:docPart w:val="071F096E60DB493BB4EDA49D4B884D0D"/>
        </w:placeholder>
        <w:date w:fullDate="2025-0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B1664">
          <w:rPr>
            <w:rFonts w:ascii="Calibri" w:eastAsia="Calibri" w:hAnsi="Calibri" w:cs="Times New Roman"/>
            <w:bCs/>
            <w:color w:val="auto"/>
            <w:sz w:val="22"/>
            <w:szCs w:val="22"/>
            <w:lang w:bidi="ar-SA"/>
          </w:rPr>
          <w:t>10.1.2025</w:t>
        </w:r>
      </w:sdtContent>
    </w:sdt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 o </w:t>
    </w:r>
    <w:sdt>
      <w:sdtPr>
        <w:rPr>
          <w:rFonts w:ascii="Calibri" w:eastAsia="Times New Roman" w:hAnsi="Calibri" w:cs="Calibri"/>
          <w:color w:val="auto"/>
          <w:sz w:val="22"/>
          <w:szCs w:val="22"/>
          <w:lang w:val="en-US" w:bidi="ar-SA"/>
        </w:rPr>
        <w:id w:val="-1147659314"/>
        <w:placeholder>
          <w:docPart w:val="532717A5C0ED401C990C6F8AF73E9D6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FA628C">
          <w:rPr>
            <w:rFonts w:ascii="Calibri" w:eastAsia="Times New Roman" w:hAnsi="Calibri" w:cs="Calibri"/>
            <w:color w:val="auto"/>
            <w:sz w:val="22"/>
            <w:szCs w:val="22"/>
            <w:lang w:val="en-US" w:bidi="ar-SA"/>
          </w:rPr>
          <w:t>prodloužení platnosti rozhodnutí o schválení veterinárního přípravku</w:t>
        </w:r>
      </w:sdtContent>
    </w:sdt>
    <w:r w:rsidRPr="00FA628C">
      <w:rPr>
        <w:rFonts w:ascii="Calibri" w:eastAsia="Calibri" w:hAnsi="Calibri" w:cs="Times New Roman"/>
        <w:bCs/>
        <w:color w:val="auto"/>
        <w:sz w:val="22"/>
        <w:szCs w:val="22"/>
        <w:lang w:val="en-US" w:bidi="ar-SA"/>
      </w:rPr>
      <w:t xml:space="preserve"> </w:t>
    </w:r>
    <w:sdt>
      <w:sdtPr>
        <w:rPr>
          <w:rFonts w:ascii="Calibri" w:eastAsia="Calibri" w:hAnsi="Calibri" w:cs="Times New Roman"/>
          <w:color w:val="auto"/>
          <w:sz w:val="22"/>
          <w:szCs w:val="22"/>
          <w:lang w:val="en-US" w:bidi="ar-SA"/>
        </w:rPr>
        <w:id w:val="-130401005"/>
        <w:placeholder>
          <w:docPart w:val="B5C08BC6333247039835220D16E8C545"/>
        </w:placeholder>
        <w:text/>
      </w:sdtPr>
      <w:sdtEndPr/>
      <w:sdtContent>
        <w:proofErr w:type="spellStart"/>
        <w:r w:rsidRPr="00FA628C">
          <w:rPr>
            <w:rFonts w:ascii="Calibri" w:eastAsia="Calibri" w:hAnsi="Calibri" w:cs="Times New Roman"/>
            <w:color w:val="auto"/>
            <w:sz w:val="22"/>
            <w:szCs w:val="22"/>
            <w:lang w:val="en-US" w:bidi="ar-SA"/>
          </w:rPr>
          <w:t>VetMax</w:t>
        </w:r>
        <w:proofErr w:type="spellEnd"/>
        <w:r w:rsidRPr="00FA628C">
          <w:rPr>
            <w:rFonts w:ascii="Calibri" w:eastAsia="Calibri" w:hAnsi="Calibri" w:cs="Times New Roman"/>
            <w:color w:val="auto"/>
            <w:sz w:val="22"/>
            <w:szCs w:val="22"/>
            <w:lang w:val="en-US" w:bidi="ar-SA"/>
          </w:rPr>
          <w:t xml:space="preserve"> Ruminant Respiratory Screening Kit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E74"/>
    <w:multiLevelType w:val="hybridMultilevel"/>
    <w:tmpl w:val="020E1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5B77"/>
    <w:multiLevelType w:val="hybridMultilevel"/>
    <w:tmpl w:val="57FA66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219A"/>
    <w:multiLevelType w:val="hybridMultilevel"/>
    <w:tmpl w:val="17CAF74E"/>
    <w:lvl w:ilvl="0" w:tplc="D898BEEC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6E05"/>
    <w:multiLevelType w:val="hybridMultilevel"/>
    <w:tmpl w:val="C7E6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40CC8"/>
    <w:multiLevelType w:val="hybridMultilevel"/>
    <w:tmpl w:val="E7486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84826"/>
    <w:multiLevelType w:val="hybridMultilevel"/>
    <w:tmpl w:val="AF4C8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360FE"/>
    <w:multiLevelType w:val="hybridMultilevel"/>
    <w:tmpl w:val="97BC7882"/>
    <w:lvl w:ilvl="0" w:tplc="1DA48248">
      <w:numFmt w:val="bullet"/>
      <w:lvlText w:val="-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8063C"/>
    <w:multiLevelType w:val="hybridMultilevel"/>
    <w:tmpl w:val="B6C63978"/>
    <w:lvl w:ilvl="0" w:tplc="53CC2390">
      <w:start w:val="4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A4314"/>
    <w:multiLevelType w:val="hybridMultilevel"/>
    <w:tmpl w:val="558E8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F6DC5"/>
    <w:multiLevelType w:val="hybridMultilevel"/>
    <w:tmpl w:val="0092552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41403"/>
    <w:multiLevelType w:val="hybridMultilevel"/>
    <w:tmpl w:val="BB205236"/>
    <w:lvl w:ilvl="0" w:tplc="1DA48248">
      <w:numFmt w:val="bullet"/>
      <w:lvlText w:val="-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86809"/>
    <w:multiLevelType w:val="hybridMultilevel"/>
    <w:tmpl w:val="7F3207F2"/>
    <w:lvl w:ilvl="0" w:tplc="53CC2390">
      <w:start w:val="4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04324BEC">
      <w:start w:val="4"/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E3350"/>
    <w:multiLevelType w:val="hybridMultilevel"/>
    <w:tmpl w:val="6D5CB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26236"/>
    <w:multiLevelType w:val="hybridMultilevel"/>
    <w:tmpl w:val="0EE02CD8"/>
    <w:lvl w:ilvl="0" w:tplc="D898BEEC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355FA"/>
    <w:multiLevelType w:val="hybridMultilevel"/>
    <w:tmpl w:val="34CE08FE"/>
    <w:lvl w:ilvl="0" w:tplc="D898BEEC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C7FF9"/>
    <w:multiLevelType w:val="hybridMultilevel"/>
    <w:tmpl w:val="67D85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06049"/>
    <w:multiLevelType w:val="hybridMultilevel"/>
    <w:tmpl w:val="5650C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E5350"/>
    <w:multiLevelType w:val="hybridMultilevel"/>
    <w:tmpl w:val="DE1A42DA"/>
    <w:lvl w:ilvl="0" w:tplc="53CC2390">
      <w:start w:val="4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60A03"/>
    <w:multiLevelType w:val="hybridMultilevel"/>
    <w:tmpl w:val="C50E4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685F"/>
    <w:multiLevelType w:val="hybridMultilevel"/>
    <w:tmpl w:val="28BE5B78"/>
    <w:lvl w:ilvl="0" w:tplc="9BB2709E"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6CAEB890">
      <w:start w:val="5"/>
      <w:numFmt w:val="bullet"/>
      <w:lvlText w:val="-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7671D"/>
    <w:multiLevelType w:val="hybridMultilevel"/>
    <w:tmpl w:val="42F8B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B513E"/>
    <w:multiLevelType w:val="hybridMultilevel"/>
    <w:tmpl w:val="0A722E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D42E93"/>
    <w:multiLevelType w:val="hybridMultilevel"/>
    <w:tmpl w:val="B8BCA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664A2"/>
    <w:multiLevelType w:val="hybridMultilevel"/>
    <w:tmpl w:val="1444D21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872C2"/>
    <w:multiLevelType w:val="hybridMultilevel"/>
    <w:tmpl w:val="C0762ADA"/>
    <w:lvl w:ilvl="0" w:tplc="D898BEEC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107AD"/>
    <w:multiLevelType w:val="hybridMultilevel"/>
    <w:tmpl w:val="322C5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C06B2"/>
    <w:multiLevelType w:val="hybridMultilevel"/>
    <w:tmpl w:val="34C00522"/>
    <w:lvl w:ilvl="0" w:tplc="34DC5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41F91"/>
    <w:multiLevelType w:val="hybridMultilevel"/>
    <w:tmpl w:val="1562A24E"/>
    <w:lvl w:ilvl="0" w:tplc="A8FC3B36">
      <w:start w:val="4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06BA8"/>
    <w:multiLevelType w:val="hybridMultilevel"/>
    <w:tmpl w:val="9D0070C8"/>
    <w:lvl w:ilvl="0" w:tplc="1DA48248">
      <w:numFmt w:val="bullet"/>
      <w:lvlText w:val="-"/>
      <w:lvlJc w:val="left"/>
      <w:pPr>
        <w:ind w:left="720" w:hanging="360"/>
      </w:pPr>
      <w:rPr>
        <w:rFonts w:ascii="Arial Narrow" w:eastAsia="Courier Ne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72D87"/>
    <w:multiLevelType w:val="hybridMultilevel"/>
    <w:tmpl w:val="F738AD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20505"/>
    <w:multiLevelType w:val="hybridMultilevel"/>
    <w:tmpl w:val="98B4A698"/>
    <w:lvl w:ilvl="0" w:tplc="53CC2390">
      <w:start w:val="4"/>
      <w:numFmt w:val="bullet"/>
      <w:lvlText w:val="•"/>
      <w:lvlJc w:val="left"/>
      <w:pPr>
        <w:ind w:left="720" w:hanging="360"/>
      </w:pPr>
      <w:rPr>
        <w:rFonts w:ascii="Arial Narrow" w:eastAsia="Courier New" w:hAnsi="Arial Narro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30"/>
  </w:num>
  <w:num w:numId="5">
    <w:abstractNumId w:val="21"/>
  </w:num>
  <w:num w:numId="6">
    <w:abstractNumId w:val="0"/>
  </w:num>
  <w:num w:numId="7">
    <w:abstractNumId w:val="18"/>
  </w:num>
  <w:num w:numId="8">
    <w:abstractNumId w:val="22"/>
  </w:num>
  <w:num w:numId="9">
    <w:abstractNumId w:val="20"/>
  </w:num>
  <w:num w:numId="10">
    <w:abstractNumId w:val="19"/>
  </w:num>
  <w:num w:numId="11">
    <w:abstractNumId w:val="7"/>
  </w:num>
  <w:num w:numId="12">
    <w:abstractNumId w:val="26"/>
  </w:num>
  <w:num w:numId="13">
    <w:abstractNumId w:val="8"/>
  </w:num>
  <w:num w:numId="14">
    <w:abstractNumId w:val="6"/>
  </w:num>
  <w:num w:numId="15">
    <w:abstractNumId w:val="10"/>
  </w:num>
  <w:num w:numId="16">
    <w:abstractNumId w:val="2"/>
  </w:num>
  <w:num w:numId="17">
    <w:abstractNumId w:val="24"/>
  </w:num>
  <w:num w:numId="18">
    <w:abstractNumId w:val="14"/>
  </w:num>
  <w:num w:numId="19">
    <w:abstractNumId w:val="13"/>
  </w:num>
  <w:num w:numId="20">
    <w:abstractNumId w:val="16"/>
  </w:num>
  <w:num w:numId="21">
    <w:abstractNumId w:val="5"/>
  </w:num>
  <w:num w:numId="22">
    <w:abstractNumId w:val="23"/>
  </w:num>
  <w:num w:numId="23">
    <w:abstractNumId w:val="9"/>
  </w:num>
  <w:num w:numId="24">
    <w:abstractNumId w:val="25"/>
  </w:num>
  <w:num w:numId="25">
    <w:abstractNumId w:val="3"/>
  </w:num>
  <w:num w:numId="26">
    <w:abstractNumId w:val="1"/>
  </w:num>
  <w:num w:numId="27">
    <w:abstractNumId w:val="29"/>
  </w:num>
  <w:num w:numId="28">
    <w:abstractNumId w:val="4"/>
  </w:num>
  <w:num w:numId="29">
    <w:abstractNumId w:val="15"/>
  </w:num>
  <w:num w:numId="30">
    <w:abstractNumId w:val="28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7D"/>
    <w:rsid w:val="00092375"/>
    <w:rsid w:val="000C752E"/>
    <w:rsid w:val="000F74F9"/>
    <w:rsid w:val="00135AA6"/>
    <w:rsid w:val="00143C82"/>
    <w:rsid w:val="00145C3C"/>
    <w:rsid w:val="001A5FCA"/>
    <w:rsid w:val="001D5F7D"/>
    <w:rsid w:val="00210406"/>
    <w:rsid w:val="00215930"/>
    <w:rsid w:val="0022542D"/>
    <w:rsid w:val="0029643E"/>
    <w:rsid w:val="002C1EF3"/>
    <w:rsid w:val="002F7373"/>
    <w:rsid w:val="0031767F"/>
    <w:rsid w:val="00326A19"/>
    <w:rsid w:val="00330583"/>
    <w:rsid w:val="003D148A"/>
    <w:rsid w:val="0041443B"/>
    <w:rsid w:val="004B1664"/>
    <w:rsid w:val="004D6E36"/>
    <w:rsid w:val="00511070"/>
    <w:rsid w:val="005836BE"/>
    <w:rsid w:val="005C0C62"/>
    <w:rsid w:val="005C5C6A"/>
    <w:rsid w:val="00604104"/>
    <w:rsid w:val="0060619B"/>
    <w:rsid w:val="006D3DA4"/>
    <w:rsid w:val="007565FA"/>
    <w:rsid w:val="00783CEA"/>
    <w:rsid w:val="008D5FED"/>
    <w:rsid w:val="00991A83"/>
    <w:rsid w:val="009C5885"/>
    <w:rsid w:val="00A53B9C"/>
    <w:rsid w:val="00A97B9E"/>
    <w:rsid w:val="00B0118D"/>
    <w:rsid w:val="00B701B4"/>
    <w:rsid w:val="00B900A7"/>
    <w:rsid w:val="00BF47E2"/>
    <w:rsid w:val="00C1070A"/>
    <w:rsid w:val="00C12777"/>
    <w:rsid w:val="00DA2E3E"/>
    <w:rsid w:val="00DD4126"/>
    <w:rsid w:val="00DE4915"/>
    <w:rsid w:val="00DE4F2B"/>
    <w:rsid w:val="00E244DD"/>
    <w:rsid w:val="00F26348"/>
    <w:rsid w:val="00F54BB6"/>
    <w:rsid w:val="00FA628C"/>
    <w:rsid w:val="00FB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06389-FDB9-4079-94E1-98BE70BF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C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CEA"/>
    <w:rPr>
      <w:rFonts w:ascii="Tahoma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3C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83CE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783C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83CEA"/>
    <w:rPr>
      <w:color w:val="000000"/>
    </w:rPr>
  </w:style>
  <w:style w:type="paragraph" w:styleId="Odstavecseseznamem">
    <w:name w:val="List Paragraph"/>
    <w:basedOn w:val="Normln"/>
    <w:uiPriority w:val="34"/>
    <w:qFormat/>
    <w:rsid w:val="00783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uzivatel\AppData\Local\Temp\FineReader11.00\media\image1.jpeg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7F3D8020DA416D9F4642727B19CF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B52862-A7A1-4218-BC6C-66B2D3C617D5}"/>
      </w:docPartPr>
      <w:docPartBody>
        <w:p w:rsidR="0060550A" w:rsidRDefault="00397B5F" w:rsidP="00397B5F">
          <w:pPr>
            <w:pStyle w:val="737F3D8020DA416D9F4642727B19CF6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71F096E60DB493BB4EDA49D4B884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E786E-2421-45B2-94F5-28E7EE62BD7E}"/>
      </w:docPartPr>
      <w:docPartBody>
        <w:p w:rsidR="0060550A" w:rsidRDefault="00397B5F" w:rsidP="00397B5F">
          <w:pPr>
            <w:pStyle w:val="071F096E60DB493BB4EDA49D4B884D0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32717A5C0ED401C990C6F8AF73E9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CC9BB-9DC0-4EF2-AD24-067082CA4972}"/>
      </w:docPartPr>
      <w:docPartBody>
        <w:p w:rsidR="0060550A" w:rsidRDefault="00397B5F" w:rsidP="00397B5F">
          <w:pPr>
            <w:pStyle w:val="532717A5C0ED401C990C6F8AF73E9D6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B5C08BC6333247039835220D16E8C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FA80D8-0732-4DB5-B879-6150ED3D0803}"/>
      </w:docPartPr>
      <w:docPartBody>
        <w:p w:rsidR="0060550A" w:rsidRDefault="00397B5F" w:rsidP="00397B5F">
          <w:pPr>
            <w:pStyle w:val="B5C08BC6333247039835220D16E8C54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5F"/>
    <w:rsid w:val="00397B5F"/>
    <w:rsid w:val="004017AC"/>
    <w:rsid w:val="0060550A"/>
    <w:rsid w:val="00EC14DE"/>
    <w:rsid w:val="00F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97B5F"/>
    <w:rPr>
      <w:color w:val="808080"/>
    </w:rPr>
  </w:style>
  <w:style w:type="paragraph" w:customStyle="1" w:styleId="737F3D8020DA416D9F4642727B19CF6F">
    <w:name w:val="737F3D8020DA416D9F4642727B19CF6F"/>
    <w:rsid w:val="00397B5F"/>
  </w:style>
  <w:style w:type="paragraph" w:customStyle="1" w:styleId="071F096E60DB493BB4EDA49D4B884D0D">
    <w:name w:val="071F096E60DB493BB4EDA49D4B884D0D"/>
    <w:rsid w:val="00397B5F"/>
  </w:style>
  <w:style w:type="paragraph" w:customStyle="1" w:styleId="532717A5C0ED401C990C6F8AF73E9D6B">
    <w:name w:val="532717A5C0ED401C990C6F8AF73E9D6B"/>
    <w:rsid w:val="00397B5F"/>
  </w:style>
  <w:style w:type="paragraph" w:customStyle="1" w:styleId="B5C08BC6333247039835220D16E8C545">
    <w:name w:val="B5C08BC6333247039835220D16E8C545"/>
    <w:rsid w:val="00397B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FFD8-4551-4603-B2A2-4CC218E8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1601</Words>
  <Characters>9452</Characters>
  <Application>Microsoft Office Word</Application>
  <DocSecurity>0</DocSecurity>
  <Lines>78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VetMAX™ Schmallenberg Virus Kit Instructions for Use (EN)(MAN0008328 Rev.B)</vt:lpstr>
      <vt:lpstr>VetMAX™ Schmallenberg Virus Kit Instructions for Use (EN)(MAN0008328 Rev.B)</vt:lpstr>
    </vt:vector>
  </TitlesOfParts>
  <Company/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VetMAX™ Schmallenberg Virus Kit Instructions for Use (EN)(MAN0008328 Rev.B)</dc:title>
  <dc:subject>VetMAX™ Schmallenberg Virus Kit (SBVS50)</dc:subject>
  <dc:creator>uzivatel</dc:creator>
  <cp:lastModifiedBy>Grodová Lenka</cp:lastModifiedBy>
  <cp:revision>8</cp:revision>
  <dcterms:created xsi:type="dcterms:W3CDTF">2025-01-06T14:29:00Z</dcterms:created>
  <dcterms:modified xsi:type="dcterms:W3CDTF">2025-01-10T11:35:00Z</dcterms:modified>
</cp:coreProperties>
</file>