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92216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GoBack"/>
    </w:p>
    <w:p w14:paraId="5E2D7E42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5182C5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127C68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3B8E80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D6B3D8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BE3C28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16D0CD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55357D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F207A0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1B71DA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EB5AD1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07B442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9B0185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963856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FC202B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6B052A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B1D354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052AC4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464E3C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343402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BBECE4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7BE191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891906" w14:textId="77777777" w:rsidR="00226D62" w:rsidRPr="00226D62" w:rsidRDefault="00226D62" w:rsidP="00226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b/>
          <w:kern w:val="0"/>
          <w14:ligatures w14:val="none"/>
        </w:rPr>
        <w:t>PŘÍBALOVÁ INFORMACE</w:t>
      </w:r>
    </w:p>
    <w:p w14:paraId="0E91A824" w14:textId="77777777" w:rsidR="00226D62" w:rsidRPr="00226D62" w:rsidRDefault="00226D62" w:rsidP="00226D6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br w:type="page"/>
      </w:r>
      <w:r w:rsidRPr="00226D62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PŘÍBALOVÁ INFORMACE</w:t>
      </w:r>
    </w:p>
    <w:p w14:paraId="04EC2B76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4BF670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3A2175" w14:textId="77777777" w:rsidR="00226D62" w:rsidRPr="00226D62" w:rsidRDefault="00226D62" w:rsidP="00226D6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1.</w:t>
      </w:r>
      <w:r w:rsidRPr="00226D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Název veterinárního léčivého přípravku</w:t>
      </w:r>
    </w:p>
    <w:p w14:paraId="052263FE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62BCA0" w14:textId="1D931D50" w:rsidR="00226D62" w:rsidRPr="00226D62" w:rsidRDefault="00226D62" w:rsidP="00226D62">
      <w:pPr>
        <w:tabs>
          <w:tab w:val="left" w:pos="567"/>
        </w:tabs>
        <w:spacing w:after="0" w:line="260" w:lineRule="exact"/>
        <w:ind w:left="705" w:hanging="705"/>
        <w:rPr>
          <w:rFonts w:ascii="Times New Roman" w:eastAsia="Times New Roman" w:hAnsi="Times New Roman" w:cs="Times New Roman"/>
          <w:bCs/>
          <w:kern w:val="0"/>
          <w14:ligatures w14:val="none"/>
        </w:rPr>
      </w:pPr>
      <w:proofErr w:type="spellStart"/>
      <w:r w:rsidRPr="00226D62">
        <w:rPr>
          <w:rFonts w:ascii="Times New Roman" w:eastAsia="Times New Roman" w:hAnsi="Times New Roman" w:cs="Times New Roman"/>
          <w:bCs/>
          <w:kern w:val="0"/>
          <w14:ligatures w14:val="none"/>
        </w:rPr>
        <w:t>AviPro</w:t>
      </w:r>
      <w:proofErr w:type="spellEnd"/>
      <w:r w:rsidRPr="00226D6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226D62">
        <w:rPr>
          <w:rFonts w:ascii="Times New Roman" w:eastAsia="Times New Roman" w:hAnsi="Times New Roman" w:cs="Times New Roman"/>
          <w:bCs/>
          <w:kern w:val="0"/>
          <w14:ligatures w14:val="none"/>
        </w:rPr>
        <w:t>Precise</w:t>
      </w:r>
      <w:proofErr w:type="spellEnd"/>
    </w:p>
    <w:p w14:paraId="4DEB0630" w14:textId="77777777" w:rsidR="00226D62" w:rsidRPr="00981B1D" w:rsidRDefault="00226D62" w:rsidP="00226D62">
      <w:pPr>
        <w:tabs>
          <w:tab w:val="left" w:pos="567"/>
        </w:tabs>
        <w:spacing w:after="0" w:line="260" w:lineRule="exact"/>
        <w:ind w:left="705" w:hanging="705"/>
        <w:rPr>
          <w:rFonts w:ascii="Times New Roman" w:eastAsia="Times New Roman" w:hAnsi="Times New Roman" w:cs="Times New Roman"/>
          <w:bCs/>
          <w:kern w:val="0"/>
          <w:u w:val="single"/>
          <w14:ligatures w14:val="none"/>
        </w:rPr>
      </w:pPr>
      <w:r w:rsidRPr="00981B1D">
        <w:rPr>
          <w:rFonts w:ascii="Times New Roman" w:eastAsia="Times New Roman" w:hAnsi="Times New Roman" w:cs="Times New Roman"/>
          <w:bCs/>
          <w:kern w:val="0"/>
          <w14:ligatures w14:val="none"/>
        </w:rPr>
        <w:t>Lyofilizát pro po</w:t>
      </w:r>
      <w:r w:rsidRPr="00226D62">
        <w:rPr>
          <w:rFonts w:ascii="Times New Roman" w:eastAsia="Times New Roman" w:hAnsi="Times New Roman" w:cs="Times New Roman"/>
          <w:bCs/>
          <w:kern w:val="0"/>
          <w14:ligatures w14:val="none"/>
        </w:rPr>
        <w:t>dání</w:t>
      </w:r>
      <w:r w:rsidRPr="00981B1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v pitné vodě</w:t>
      </w:r>
    </w:p>
    <w:p w14:paraId="4C5944E4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B4B66C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C70DAD" w14:textId="77777777" w:rsidR="00226D62" w:rsidRPr="00226D62" w:rsidRDefault="00226D62" w:rsidP="00226D6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2.</w:t>
      </w:r>
      <w:r w:rsidRPr="00226D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Složení</w:t>
      </w:r>
    </w:p>
    <w:p w14:paraId="1164616B" w14:textId="77777777" w:rsidR="00226D62" w:rsidRPr="00226D62" w:rsidRDefault="00226D62" w:rsidP="00226D6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FA08DB" w14:textId="77777777" w:rsidR="00226D62" w:rsidRPr="00226D62" w:rsidRDefault="00226D62" w:rsidP="00226D6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Každá dávka obsahuje:</w:t>
      </w:r>
    </w:p>
    <w:p w14:paraId="5D32A23B" w14:textId="77777777" w:rsidR="00226D62" w:rsidRPr="00226D62" w:rsidRDefault="00226D62" w:rsidP="00226D6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86A81E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b/>
          <w:kern w:val="0"/>
          <w14:ligatures w14:val="none"/>
        </w:rPr>
        <w:t>Léčivé látky:</w:t>
      </w:r>
    </w:p>
    <w:p w14:paraId="7D69D4D0" w14:textId="77777777" w:rsidR="00226D62" w:rsidRPr="00226D62" w:rsidRDefault="00226D62" w:rsidP="00226D6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Virus </w:t>
      </w:r>
      <w:proofErr w:type="spellStart"/>
      <w:r w:rsidRPr="00226D62">
        <w:rPr>
          <w:rFonts w:ascii="Times New Roman" w:eastAsia="Times New Roman" w:hAnsi="Times New Roman" w:cs="Times New Roman"/>
          <w:kern w:val="0"/>
          <w14:ligatures w14:val="none"/>
        </w:rPr>
        <w:t>bursitidis</w:t>
      </w:r>
      <w:proofErr w:type="spellEnd"/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26D62">
        <w:rPr>
          <w:rFonts w:ascii="Times New Roman" w:eastAsia="Times New Roman" w:hAnsi="Times New Roman" w:cs="Times New Roman"/>
          <w:kern w:val="0"/>
          <w14:ligatures w14:val="none"/>
        </w:rPr>
        <w:t>infectiosae</w:t>
      </w:r>
      <w:proofErr w:type="spellEnd"/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26D62">
        <w:rPr>
          <w:rFonts w:ascii="Times New Roman" w:eastAsia="Times New Roman" w:hAnsi="Times New Roman" w:cs="Times New Roman"/>
          <w:kern w:val="0"/>
          <w14:ligatures w14:val="none"/>
        </w:rPr>
        <w:t>avium</w:t>
      </w:r>
      <w:proofErr w:type="spellEnd"/>
      <w:r w:rsidRPr="00226D62">
        <w:rPr>
          <w:rFonts w:ascii="Times New Roman" w:eastAsia="Times New Roman" w:hAnsi="Times New Roman" w:cs="Times New Roman"/>
          <w:kern w:val="0"/>
          <w14:ligatures w14:val="none"/>
        </w:rPr>
        <w:t>, kmen LC 75, živý: 10</w:t>
      </w:r>
      <w:r w:rsidRPr="00226D62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3,0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 - 10</w:t>
      </w:r>
      <w:r w:rsidRPr="00226D62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4,5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 EID</w:t>
      </w:r>
      <w:r w:rsidRPr="00226D62">
        <w:rPr>
          <w:rFonts w:ascii="Times New Roman" w:eastAsia="Times New Roman" w:hAnsi="Times New Roman" w:cs="Times New Roman"/>
          <w:kern w:val="0"/>
          <w:vertAlign w:val="subscript"/>
          <w14:ligatures w14:val="none"/>
        </w:rPr>
        <w:t>50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*.</w:t>
      </w:r>
    </w:p>
    <w:p w14:paraId="601621E7" w14:textId="77777777" w:rsidR="00226D62" w:rsidRPr="00226D62" w:rsidRDefault="00226D62" w:rsidP="00226D62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iCs/>
          <w:kern w:val="0"/>
          <w14:ligatures w14:val="none"/>
        </w:rPr>
        <w:t>*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 EID</w:t>
      </w:r>
      <w:r w:rsidRPr="00226D62">
        <w:rPr>
          <w:rFonts w:ascii="Times New Roman" w:eastAsia="Times New Roman" w:hAnsi="Times New Roman" w:cs="Times New Roman"/>
          <w:kern w:val="0"/>
          <w:vertAlign w:val="subscript"/>
          <w14:ligatures w14:val="none"/>
        </w:rPr>
        <w:t>50</w:t>
      </w:r>
      <w:r w:rsidRPr="00226D62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= 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50 % infekční dávka pro embrya: titr viru potřebný k vyvolání infekce u 50 % embryí,</w:t>
      </w:r>
    </w:p>
    <w:p w14:paraId="4C1F7BF3" w14:textId="77777777" w:rsidR="00226D62" w:rsidRPr="00226D62" w:rsidRDefault="00226D62" w:rsidP="00226D6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která byla inokulována virem.</w:t>
      </w:r>
    </w:p>
    <w:p w14:paraId="6EE2FBBB" w14:textId="77777777" w:rsidR="00226D62" w:rsidRPr="00226D62" w:rsidRDefault="00226D62" w:rsidP="00226D6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E028B3" w14:textId="353BFC5E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Růžový až červenohnědý </w:t>
      </w:r>
      <w:proofErr w:type="spellStart"/>
      <w:r w:rsidRPr="00226D62">
        <w:rPr>
          <w:rFonts w:ascii="Times New Roman" w:eastAsia="Times New Roman" w:hAnsi="Times New Roman" w:cs="Times New Roman"/>
          <w:kern w:val="0"/>
          <w14:ligatures w14:val="none"/>
        </w:rPr>
        <w:t>lyofilizát</w:t>
      </w:r>
      <w:proofErr w:type="spellEnd"/>
      <w:r w:rsidRPr="00226D6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68626ED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3905261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B50584" w14:textId="77777777" w:rsidR="00226D62" w:rsidRPr="00226D62" w:rsidRDefault="00226D62" w:rsidP="00226D6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3.</w:t>
      </w:r>
      <w:r w:rsidRPr="00226D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Cílové druhy zvířat</w:t>
      </w:r>
    </w:p>
    <w:p w14:paraId="15A16E39" w14:textId="77777777" w:rsidR="00226D62" w:rsidRPr="00226D62" w:rsidRDefault="00226D62" w:rsidP="00226D6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0E4F4E" w14:textId="77777777" w:rsidR="00226D62" w:rsidRPr="00226D62" w:rsidRDefault="00226D62" w:rsidP="00226D6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Kur domácí.</w:t>
      </w:r>
    </w:p>
    <w:p w14:paraId="590551EE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24F532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DF61EB" w14:textId="77777777" w:rsidR="00226D62" w:rsidRPr="00226D62" w:rsidRDefault="00226D62" w:rsidP="00226D6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4.</w:t>
      </w:r>
      <w:r w:rsidRPr="00226D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Indikace pro použití</w:t>
      </w:r>
    </w:p>
    <w:p w14:paraId="44BC5DA5" w14:textId="77777777" w:rsidR="00226D62" w:rsidRPr="00226D62" w:rsidRDefault="00226D62" w:rsidP="00226D6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6164BA" w14:textId="77777777" w:rsidR="00226D62" w:rsidRPr="00226D62" w:rsidRDefault="00226D62" w:rsidP="00226D62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K aktivní imunizaci proti infekční burzitidě (IBD/Gumboro)</w:t>
      </w: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pro 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kuřata, která jsou k ní vnímavá, od stáří 7 dnů.</w:t>
      </w:r>
    </w:p>
    <w:p w14:paraId="5F25E650" w14:textId="3D006C1A" w:rsidR="00226D62" w:rsidRPr="00226D62" w:rsidRDefault="00226D62" w:rsidP="00226D62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Vakcína redukuje klinické příznaky IBD a </w:t>
      </w:r>
      <w:r w:rsidR="002B06B3">
        <w:rPr>
          <w:rFonts w:ascii="Times New Roman" w:eastAsia="Times New Roman" w:hAnsi="Times New Roman" w:cs="Times New Roman"/>
          <w:kern w:val="0"/>
          <w14:ligatures w14:val="none"/>
        </w:rPr>
        <w:t>závažné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 poškození burzy.</w:t>
      </w:r>
    </w:p>
    <w:p w14:paraId="70C192F6" w14:textId="77777777" w:rsidR="00226D62" w:rsidRPr="00226D62" w:rsidRDefault="00226D62" w:rsidP="00226D62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AFD2E7" w14:textId="39CF2113" w:rsidR="00226D62" w:rsidRPr="00226D62" w:rsidRDefault="00226D62" w:rsidP="00226D62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Nástup imunity: 2 týdny po </w:t>
      </w:r>
      <w:r w:rsidR="002B06B3">
        <w:rPr>
          <w:rFonts w:ascii="Times New Roman" w:eastAsia="Times New Roman" w:hAnsi="Times New Roman" w:cs="Times New Roman"/>
          <w:kern w:val="0"/>
          <w14:ligatures w14:val="none"/>
        </w:rPr>
        <w:t>vakcinaci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3BB1D16" w14:textId="5A34B6C9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Trvání imunity: 4 týdny po vakcinaci (prokázáno čelenží), protilátky mohou přetrvávat až 15 týdnů.</w:t>
      </w:r>
    </w:p>
    <w:p w14:paraId="3C578FD0" w14:textId="77777777" w:rsidR="00226D62" w:rsidRPr="00226D62" w:rsidRDefault="00226D62" w:rsidP="00226D6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634E898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CBD461" w14:textId="77777777" w:rsidR="00226D62" w:rsidRPr="00226D62" w:rsidRDefault="00226D62" w:rsidP="00226D6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5.</w:t>
      </w:r>
      <w:r w:rsidRPr="00226D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Kontraindikace</w:t>
      </w:r>
    </w:p>
    <w:p w14:paraId="449F59D1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4572D4" w14:textId="77777777" w:rsidR="00226D62" w:rsidRPr="00226D62" w:rsidRDefault="00226D62" w:rsidP="00226D62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Nejsou.</w:t>
      </w:r>
    </w:p>
    <w:p w14:paraId="538A6B1A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3B99CB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87AFF4" w14:textId="77777777" w:rsidR="00226D62" w:rsidRPr="00226D62" w:rsidRDefault="00226D62" w:rsidP="00226D6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6.</w:t>
      </w:r>
      <w:r w:rsidRPr="00226D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upozornění</w:t>
      </w:r>
    </w:p>
    <w:p w14:paraId="3575E7C1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489D3E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upozornění</w:t>
      </w: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07C4F851" w14:textId="77777777" w:rsidR="00226D62" w:rsidRPr="00226D62" w:rsidRDefault="00226D62" w:rsidP="00226D62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Vakcinovat pouze zdravá zvířata.</w:t>
      </w:r>
    </w:p>
    <w:p w14:paraId="2A76F605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C8F94E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bezpečné použití u cílových druhů zvířat</w:t>
      </w: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2910F6DC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Vakcinovaná kuřata mohou vylučovat vakcinační kmen po dobu nejméně 9 dnů po vakcinaci. Je třeba přijmout zvláštní opatření, aby se zabránilo šíření vakcinačního kmene na nosnice.</w:t>
      </w:r>
    </w:p>
    <w:p w14:paraId="0ADB2161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9C3658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Ke snížení infekčního tlaku před nástupem imunity by se mezi chovnými cykly měla odstranit podestýlka a hala pro kuřata vyčistit.</w:t>
      </w:r>
    </w:p>
    <w:p w14:paraId="24025728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D66FC7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osobu, která podává veterinární léčivý přípravek zvířatům</w:t>
      </w: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258ADB65" w14:textId="67C81C68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Živá </w:t>
      </w:r>
      <w:proofErr w:type="spellStart"/>
      <w:r w:rsidRPr="00226D62">
        <w:rPr>
          <w:rFonts w:ascii="Times New Roman" w:eastAsia="Times New Roman" w:hAnsi="Times New Roman" w:cs="Times New Roman"/>
          <w:kern w:val="0"/>
          <w14:ligatures w14:val="none"/>
        </w:rPr>
        <w:t>atenuovaná</w:t>
      </w:r>
      <w:proofErr w:type="spellEnd"/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 virová vakcína: zabraňte postříkání, nebo rozlití. </w:t>
      </w:r>
    </w:p>
    <w:p w14:paraId="5B0F6AB6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lastRenderedPageBreak/>
        <w:t>Po použití umyjte a vydezinfikujte ruce a vybavení.</w:t>
      </w:r>
    </w:p>
    <w:p w14:paraId="650B568B" w14:textId="77777777" w:rsidR="00226D62" w:rsidRPr="00226D62" w:rsidRDefault="00226D62" w:rsidP="00226D62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</w:p>
    <w:p w14:paraId="7F03FC84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Nosnice</w:t>
      </w: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56FB54FB" w14:textId="546EE83B" w:rsidR="00226D62" w:rsidRPr="00226D62" w:rsidRDefault="00226D62" w:rsidP="00D13E37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Nepoužívat u nosnic ve snášce a během 4 týdnů před počátkem snášky.</w:t>
      </w:r>
      <w:r w:rsidR="00D13E37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</w:p>
    <w:p w14:paraId="02F7F2EF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2F74D1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Interakce s jinými léčivými přípravky a další formy interakce</w:t>
      </w: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20A16666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6AE213D2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1F450A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Předávkování</w:t>
      </w: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10A88440" w14:textId="4D77497F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Po podání desetinásobné dávky nebyly pozorovány žádné jiné nežádoucí účinky než ty popsané v části „Nežádoucí účinky“.</w:t>
      </w:r>
    </w:p>
    <w:p w14:paraId="2BE64938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93A523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Hlavní inkompatibility</w:t>
      </w: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0733079C" w14:textId="11ADE9D8" w:rsidR="00226D62" w:rsidRPr="00226D62" w:rsidRDefault="00226D62" w:rsidP="00981B1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Nemí</w:t>
      </w:r>
      <w:r w:rsidR="00D03B15">
        <w:rPr>
          <w:rFonts w:ascii="Times New Roman" w:eastAsia="Times New Roman" w:hAnsi="Times New Roman" w:cs="Times New Roman"/>
          <w:kern w:val="0"/>
          <w14:ligatures w14:val="none"/>
        </w:rPr>
        <w:t>sit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 s jiným veterinárním léčivým přípravk</w:t>
      </w:r>
      <w:r w:rsidR="00D03B15">
        <w:rPr>
          <w:rFonts w:ascii="Times New Roman" w:eastAsia="Times New Roman" w:hAnsi="Times New Roman" w:cs="Times New Roman"/>
          <w:kern w:val="0"/>
          <w14:ligatures w14:val="none"/>
        </w:rPr>
        <w:t>em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4BB7A19F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C02235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Nejsou k dispozici žádné informace o potenciálních interakcích nebo inkompatibilitách tohoto veterinárního léčivého přípravku podávaného perorálně přimícháním do pitné vody obsahující jiné látky používané v pitné vodě.</w:t>
      </w:r>
    </w:p>
    <w:p w14:paraId="0BED361B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415E09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C149E6" w14:textId="77777777" w:rsidR="00226D62" w:rsidRPr="00226D62" w:rsidRDefault="00226D62" w:rsidP="00226D6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7.</w:t>
      </w:r>
      <w:r w:rsidRPr="00226D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Nežádoucí účinky</w:t>
      </w:r>
    </w:p>
    <w:p w14:paraId="763CD318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67B380E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Kur domácí:</w:t>
      </w:r>
    </w:p>
    <w:p w14:paraId="10224023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tbl>
      <w:tblPr>
        <w:tblpPr w:leftFromText="180" w:rightFromText="180" w:vertAnchor="text" w:horzAnchor="margin" w:tblpY="121"/>
        <w:tblW w:w="9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7"/>
      </w:tblGrid>
      <w:tr w:rsidR="00226D62" w:rsidRPr="00226D62" w14:paraId="5249C9B3" w14:textId="77777777" w:rsidTr="006B6BD8">
        <w:trPr>
          <w:trHeight w:val="374"/>
        </w:trPr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4A65" w14:textId="77777777" w:rsidR="00226D62" w:rsidRPr="00226D62" w:rsidRDefault="00226D62" w:rsidP="00226D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  <w:r w:rsidRPr="00226D62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>Velmi časté (&gt; 1 zvíře / 10 ošetřených zvířat):</w:t>
            </w:r>
          </w:p>
        </w:tc>
      </w:tr>
      <w:tr w:rsidR="00226D62" w:rsidRPr="00226D62" w14:paraId="5CB1BBF6" w14:textId="77777777" w:rsidTr="006B6BD8">
        <w:trPr>
          <w:trHeight w:val="314"/>
        </w:trPr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BD07" w14:textId="77777777" w:rsidR="00226D62" w:rsidRPr="00226D62" w:rsidRDefault="00226D62" w:rsidP="00226D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vertAlign w:val="superscript"/>
                <w14:ligatures w14:val="none"/>
              </w:rPr>
            </w:pPr>
            <w:r w:rsidRPr="00226D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Deplece lymfocytů ve Fabriciově burze</w:t>
            </w:r>
            <w:r w:rsidRPr="00226D62">
              <w:rPr>
                <w:rFonts w:ascii="Times New Roman" w:eastAsia="Times New Roman" w:hAnsi="Times New Roman" w:cs="Times New Roman"/>
                <w:iCs/>
                <w:kern w:val="0"/>
                <w:vertAlign w:val="superscript"/>
                <w14:ligatures w14:val="none"/>
              </w:rPr>
              <w:t>1</w:t>
            </w:r>
          </w:p>
          <w:p w14:paraId="6A1FB00C" w14:textId="77777777" w:rsidR="00226D62" w:rsidRPr="00226D62" w:rsidRDefault="00226D62" w:rsidP="00226D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vertAlign w:val="superscript"/>
                <w14:ligatures w14:val="none"/>
              </w:rPr>
            </w:pPr>
          </w:p>
        </w:tc>
      </w:tr>
      <w:tr w:rsidR="00226D62" w:rsidRPr="00226D62" w14:paraId="62D49ACF" w14:textId="77777777" w:rsidTr="006B6BD8">
        <w:trPr>
          <w:trHeight w:val="374"/>
        </w:trPr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B305" w14:textId="77777777" w:rsidR="00226D62" w:rsidRPr="00226D62" w:rsidDel="00464658" w:rsidRDefault="00226D62" w:rsidP="00226D62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  <w:r w:rsidRPr="00226D62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Vzácné (1 až 10 zvířat / 10 000 ošetřených zvířat):</w:t>
            </w:r>
          </w:p>
        </w:tc>
      </w:tr>
      <w:tr w:rsidR="00226D62" w:rsidRPr="00226D62" w14:paraId="2B0F2F11" w14:textId="77777777" w:rsidTr="006B6BD8">
        <w:trPr>
          <w:trHeight w:val="313"/>
        </w:trPr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E8CB" w14:textId="77777777" w:rsidR="00226D62" w:rsidRPr="00226D62" w:rsidRDefault="00226D62" w:rsidP="00226D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vertAlign w:val="superscript"/>
                <w14:ligatures w14:val="none"/>
              </w:rPr>
            </w:pPr>
            <w:r w:rsidRPr="00226D62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>Degenerace Fabriciovy burzy</w:t>
            </w:r>
            <w:r w:rsidRPr="00226D62">
              <w:rPr>
                <w:rFonts w:ascii="Times New Roman" w:eastAsia="Times New Roman" w:hAnsi="Times New Roman" w:cs="Times New Roman"/>
                <w:iCs/>
                <w:kern w:val="0"/>
                <w:vertAlign w:val="superscript"/>
                <w14:ligatures w14:val="none"/>
              </w:rPr>
              <w:t>2</w:t>
            </w:r>
          </w:p>
          <w:p w14:paraId="7546754E" w14:textId="77777777" w:rsidR="00226D62" w:rsidRPr="00226D62" w:rsidDel="00464658" w:rsidRDefault="00226D62" w:rsidP="00226D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</w:p>
        </w:tc>
      </w:tr>
    </w:tbl>
    <w:p w14:paraId="008D713A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</w:pPr>
    </w:p>
    <w:p w14:paraId="4D3D6D93" w14:textId="17F08BB6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1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Střední intenzity, </w:t>
      </w:r>
      <w:r w:rsidR="00D03B15">
        <w:rPr>
          <w:rFonts w:ascii="Times New Roman" w:eastAsia="Times New Roman" w:hAnsi="Times New Roman" w:cs="Times New Roman"/>
          <w:kern w:val="0"/>
          <w14:ligatures w14:val="none"/>
        </w:rPr>
        <w:t>pozorované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 7</w:t>
      </w:r>
      <w:r w:rsidR="00D03B15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 d</w:t>
      </w:r>
      <w:r w:rsidR="00D03B15">
        <w:rPr>
          <w:rFonts w:ascii="Times New Roman" w:eastAsia="Times New Roman" w:hAnsi="Times New Roman" w:cs="Times New Roman"/>
          <w:kern w:val="0"/>
          <w14:ligatures w14:val="none"/>
        </w:rPr>
        <w:t>en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 po vakcinaci. K </w:t>
      </w:r>
      <w:proofErr w:type="spellStart"/>
      <w:r w:rsidRPr="00226D62">
        <w:rPr>
          <w:rFonts w:ascii="Times New Roman" w:eastAsia="Times New Roman" w:hAnsi="Times New Roman" w:cs="Times New Roman"/>
          <w:kern w:val="0"/>
          <w14:ligatures w14:val="none"/>
        </w:rPr>
        <w:t>repopulaci</w:t>
      </w:r>
      <w:proofErr w:type="spellEnd"/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 lymfocytů dochází </w:t>
      </w:r>
      <w:r w:rsidR="00D03B15">
        <w:rPr>
          <w:rFonts w:ascii="Times New Roman" w:eastAsia="Times New Roman" w:hAnsi="Times New Roman" w:cs="Times New Roman"/>
          <w:kern w:val="0"/>
          <w14:ligatures w14:val="none"/>
        </w:rPr>
        <w:t>po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 7</w:t>
      </w:r>
      <w:r w:rsidR="00D03B15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 dn</w:t>
      </w:r>
      <w:r w:rsidR="00246B5F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 po vakcinaci a dále.</w:t>
      </w:r>
    </w:p>
    <w:p w14:paraId="48A18063" w14:textId="022C8EA0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2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Mírná nekróza od 28. dne po vakcinaci.</w:t>
      </w:r>
    </w:p>
    <w:p w14:paraId="76C72F0D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7608B7" w14:textId="02684ADF" w:rsidR="00226D62" w:rsidRPr="00226D62" w:rsidRDefault="00226D62" w:rsidP="00226D62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bookmarkStart w:id="1" w:name="_Hlk184640527"/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účinků: </w:t>
      </w:r>
    </w:p>
    <w:bookmarkEnd w:id="1"/>
    <w:p w14:paraId="3338F899" w14:textId="77777777" w:rsidR="00226D62" w:rsidRPr="00226D62" w:rsidRDefault="00226D62" w:rsidP="00226D62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A5CE30" w14:textId="77777777" w:rsidR="00226D62" w:rsidRPr="00226D62" w:rsidRDefault="00226D62" w:rsidP="00226D62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Ústav pro státní kontrolu veterinárních biopreparátů a léčiv </w:t>
      </w:r>
    </w:p>
    <w:p w14:paraId="12E3E1A7" w14:textId="77777777" w:rsidR="00226D62" w:rsidRPr="00226D62" w:rsidRDefault="00226D62" w:rsidP="00226D62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Hudcova 232/56a </w:t>
      </w:r>
    </w:p>
    <w:p w14:paraId="4B5491D1" w14:textId="77777777" w:rsidR="00226D62" w:rsidRPr="00226D62" w:rsidRDefault="00226D62" w:rsidP="00226D62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621 00 Brno</w:t>
      </w:r>
    </w:p>
    <w:p w14:paraId="066AEA14" w14:textId="0A518BA5" w:rsidR="00226D62" w:rsidRPr="00226D62" w:rsidRDefault="00D03B15" w:rsidP="00226D62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e-m</w:t>
      </w:r>
      <w:r w:rsidR="00226D62"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ail: </w:t>
      </w:r>
      <w:hyperlink r:id="rId10" w:history="1">
        <w:r w:rsidR="00226D62" w:rsidRPr="00226D6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adr@uskvbl.cz</w:t>
        </w:r>
      </w:hyperlink>
    </w:p>
    <w:p w14:paraId="4EA2AB00" w14:textId="77777777" w:rsidR="00226D62" w:rsidRPr="00226D62" w:rsidRDefault="00226D62" w:rsidP="00226D62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Webové stránky: </w:t>
      </w:r>
      <w:hyperlink r:id="rId11" w:history="1">
        <w:r w:rsidRPr="00226D6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http://www.uskvbl.cz/cs/farmakovigilance</w:t>
        </w:r>
      </w:hyperlink>
    </w:p>
    <w:p w14:paraId="5186FF82" w14:textId="77777777" w:rsidR="00226D62" w:rsidRPr="00226D62" w:rsidRDefault="00226D62" w:rsidP="00226D62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noProof/>
          <w:kern w:val="0"/>
          <w14:ligatures w14:val="none"/>
        </w:rPr>
      </w:pPr>
    </w:p>
    <w:p w14:paraId="4304F644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06878F4" w14:textId="77777777" w:rsidR="00226D62" w:rsidRPr="00226D62" w:rsidRDefault="00226D62" w:rsidP="00226D6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8.</w:t>
      </w:r>
      <w:r w:rsidRPr="00226D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Dávkování pro každý druh, cesty a způsob podání</w:t>
      </w:r>
    </w:p>
    <w:p w14:paraId="32F4F1D9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EED710" w14:textId="7566FC00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Podání v pitné vodě: Jedna dávka vakcíny (min. 10</w:t>
      </w:r>
      <w:r w:rsidRPr="00226D62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 xml:space="preserve">3,0 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EID</w:t>
      </w:r>
      <w:r w:rsidRPr="00226D62">
        <w:rPr>
          <w:rFonts w:ascii="Times New Roman" w:eastAsia="Times New Roman" w:hAnsi="Times New Roman" w:cs="Times New Roman"/>
          <w:kern w:val="0"/>
          <w:vertAlign w:val="subscript"/>
          <w14:ligatures w14:val="none"/>
        </w:rPr>
        <w:t>50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) na kuře by měla být podána od věku 7 dnů a později.</w:t>
      </w:r>
    </w:p>
    <w:p w14:paraId="5ABD7AB8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Stanovení optimálního data vakcinace je ovlivněno více faktory, jako je hladina mateřských protilátek, kategorie ptáků, infekční tlak, podmínky chovu a ustájení. </w:t>
      </w:r>
    </w:p>
    <w:p w14:paraId="0833F98A" w14:textId="62B228D0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Mateřské protilátky (MDA) potenciálně interferují s podáním živých vakcín proti IBD. Optimální věk pro vakcinaci je proto závislý jak na hladině zbytkových MDA proti IBD v hejnu, tak na schopnosti vakcíny čelit těmto MDA („průlomový titr“). Vysoká homogenita hladin MDA v hejnu je důležitá pro stanovení načasování vakcinace a zaručuje lepší imunitní odezvu na vakcínu.  Aby bylo možné předpovědět věk, kdy je hladina MDA dostatečně nízká, aby vakcinace byla účinná, doporučuje </w:t>
      </w:r>
      <w:r w:rsidR="00290434">
        <w:rPr>
          <w:rFonts w:ascii="Times New Roman" w:eastAsia="Times New Roman" w:hAnsi="Times New Roman" w:cs="Times New Roman"/>
          <w:kern w:val="0"/>
          <w14:ligatures w14:val="none"/>
        </w:rPr>
        <w:t xml:space="preserve">se 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sérologicky otestovat vzorky séra od nejméně 24 kuřat a použít Deventerův vzorec pro intermediální vakcíny. U kuřat od plně </w:t>
      </w:r>
      <w:r w:rsidR="00D03B15">
        <w:rPr>
          <w:rFonts w:ascii="Times New Roman" w:eastAsia="Times New Roman" w:hAnsi="Times New Roman" w:cs="Times New Roman"/>
          <w:kern w:val="0"/>
          <w14:ligatures w14:val="none"/>
        </w:rPr>
        <w:t>vakcinovaných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 nebo terénním virem infikovaných rodičů to může být od 14. dne nebo později. Sérologicky negativní ptáci mohou být očkováni od 7. dne. </w:t>
      </w:r>
    </w:p>
    <w:p w14:paraId="4CF8E42C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5638F1" w14:textId="314E3F3E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Následná vakcinace 7 dnů po první</w:t>
      </w:r>
      <w:r w:rsidR="00D03B15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 může být nezbytná zejména v hejnech, kde se hladiny protilátek mezi ptáky značně liší (tj. CV větší než 30 %) nebo pokud populace pochází z různých zdrojů.</w:t>
      </w:r>
    </w:p>
    <w:p w14:paraId="1DD31792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3C0159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Brojleři:</w:t>
      </w:r>
    </w:p>
    <w:p w14:paraId="070C8DD9" w14:textId="58AC6502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bez mateřských protilátek – od stáří 7 dnů </w:t>
      </w:r>
    </w:p>
    <w:p w14:paraId="07AA817F" w14:textId="68ABDD8F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ab/>
        <w:t>s mateřskými protilátkami – od stáří 14 dnů</w:t>
      </w:r>
    </w:p>
    <w:p w14:paraId="33369970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A92F49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Nosnice/Chovní jedinci:</w:t>
      </w:r>
    </w:p>
    <w:p w14:paraId="0587D5F2" w14:textId="245F9D01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bez mateřských protilátek – od stáří 7 dnů </w:t>
      </w:r>
    </w:p>
    <w:p w14:paraId="4A5752EF" w14:textId="08046A10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ab/>
        <w:t>s mateřskými protilátkami – o</w:t>
      </w:r>
      <w:r w:rsidR="00C80A64">
        <w:t xml:space="preserve">d </w:t>
      </w:r>
      <w:r w:rsidR="00C80A64" w:rsidRPr="00981B1D">
        <w:rPr>
          <w:rFonts w:ascii="Times New Roman" w:eastAsia="Times New Roman" w:hAnsi="Times New Roman" w:cs="Times New Roman"/>
          <w:kern w:val="0"/>
          <w14:ligatures w14:val="none"/>
        </w:rPr>
        <w:t>3 až 4 týdnů věku</w:t>
      </w:r>
    </w:p>
    <w:p w14:paraId="13156A54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Dávkování a způsob podání:</w:t>
      </w:r>
    </w:p>
    <w:p w14:paraId="379CC147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AF9371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Podání v pitné vodě:</w:t>
      </w:r>
    </w:p>
    <w:p w14:paraId="51B816F0" w14:textId="77777777" w:rsidR="00226D62" w:rsidRPr="00226D62" w:rsidRDefault="00226D62" w:rsidP="00981B1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ab/>
        <w:t>Stanovte počet vakcinačních dávek a požadované množství vody (viz. níže). Nerozdělujte velké lahvičky k vakcinaci pro více než jedno hejno nebo jeden napájecí systém, aby nedocházelo k chybám dávkování.</w:t>
      </w:r>
    </w:p>
    <w:p w14:paraId="1E54DA91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51BD4D" w14:textId="633B37D1" w:rsidR="00226D62" w:rsidRPr="00226D62" w:rsidRDefault="00226D62" w:rsidP="00981B1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ab/>
        <w:t>Zajistěte, aby veškerá potrubí, trubky, žlaby, nap</w:t>
      </w:r>
      <w:r w:rsidR="00290434">
        <w:rPr>
          <w:rFonts w:ascii="Times New Roman" w:eastAsia="Times New Roman" w:hAnsi="Times New Roman" w:cs="Times New Roman"/>
          <w:kern w:val="0"/>
          <w14:ligatures w14:val="none"/>
        </w:rPr>
        <w:t>á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ječky atp. byly pečlivě očištěny bez zbytků dezinfekčních a detergenčních látek atp.</w:t>
      </w:r>
    </w:p>
    <w:p w14:paraId="32D7F788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3FFDF7" w14:textId="795C3DC1" w:rsidR="00226D62" w:rsidRPr="00226D62" w:rsidRDefault="00226D62" w:rsidP="00226D6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ab/>
        <w:t>Pro uchování životaschopnosti vakcíny zajistěte, aby pitná voda byla studená, čistá a prostá detergenčních a dezinfekčních látek. Použijte pouze čerstvou vodu nejlépe nechlorovanou, bez iontů kovu. Přidání nízkotučného sušeného odstředěného mléka (tj. &lt; 1 % tuku) do vody (2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noBreakHyphen/>
        <w:t>4 gramy na litr) nebo odstředěného mléka (20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noBreakHyphen/>
        <w:t>40 ml na litr vody) může zlepšit kvalitu vody a zlepšit stabilitu vakcinačního viru. To však musí být provedeno 10 minut před rekonstitucí vakcíny.</w:t>
      </w:r>
    </w:p>
    <w:p w14:paraId="0BFEB33E" w14:textId="77777777" w:rsidR="00226D62" w:rsidRPr="00226D62" w:rsidRDefault="00226D62" w:rsidP="00226D6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2F0214" w14:textId="62BA18C3" w:rsidR="00226D62" w:rsidRPr="00226D62" w:rsidRDefault="00226D62" w:rsidP="00981B1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Otevřete lahvičku s vakcínou pod vodou a pečlivě rekonstitujte celý obsah. Dbejte na to, abyste lahvičku a její vršek úplně vyprázdnili, jejich </w:t>
      </w:r>
      <w:r w:rsidR="002A1C87">
        <w:rPr>
          <w:rFonts w:ascii="Times New Roman" w:eastAsia="Times New Roman" w:hAnsi="Times New Roman" w:cs="Times New Roman"/>
          <w:kern w:val="0"/>
          <w14:ligatures w14:val="none"/>
        </w:rPr>
        <w:t>vy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pláchnutím vodou.</w:t>
      </w:r>
    </w:p>
    <w:p w14:paraId="376F87B7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B65823" w14:textId="1854D03A" w:rsidR="00226D62" w:rsidRPr="00226D62" w:rsidRDefault="00226D62" w:rsidP="00981B1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ab/>
        <w:t>Nechejte pták</w:t>
      </w:r>
      <w:r w:rsidR="00D60165">
        <w:rPr>
          <w:rFonts w:ascii="Times New Roman" w:eastAsia="Times New Roman" w:hAnsi="Times New Roman" w:cs="Times New Roman"/>
          <w:kern w:val="0"/>
          <w14:ligatures w14:val="none"/>
        </w:rPr>
        <w:t>y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 vypít z napáječek všechnu vodu, aby v napáječkách zůstaly před vakcinací jen minimální zbytky vody. Všechna voda se musí z celého potrubí před vakcinací vypustit, aby v napáječkách byla jenom voda s vakcínou. Pokud se v potrubí voda stále nachází, před aplikací vakcíny se musí vypustit.</w:t>
      </w:r>
    </w:p>
    <w:p w14:paraId="0A601CB2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39944F" w14:textId="08C4FD51" w:rsidR="00226D62" w:rsidRPr="00226D62" w:rsidRDefault="00226D62" w:rsidP="00226D6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ab/>
        <w:t>Voda s vakcínou se podává po dobu (až) 2 hodin, zajistěte, aby v této době všichni ptáci pili. Chování ptáků při pití se liší, proto může být nutné nechat ptáky před vakcinací žíznit, aby se zajistilo, že všichni ptáci budou v průběhu doby vakcinace pít.</w:t>
      </w:r>
    </w:p>
    <w:p w14:paraId="4FFB64A7" w14:textId="77777777" w:rsidR="00226D62" w:rsidRPr="00226D62" w:rsidRDefault="00226D62" w:rsidP="00226D6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513F38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ab/>
        <w:t>Cílem je podat každému zvířeti jednu dávku vakcíny.</w:t>
      </w:r>
    </w:p>
    <w:p w14:paraId="19F33E68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ADE763" w14:textId="5D2B9540" w:rsidR="00226D62" w:rsidRPr="00226D62" w:rsidRDefault="00226D62" w:rsidP="00226D6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-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ab/>
        <w:t>Vakcína by měla být ideálně podána pouze v takovém množství pitné vody, které zvířata spotřebují během 2 hodin. Obecné pravidlo pro přípravu vakcinačního roztoku je, rekonstituovat v 1 litru studené čerstvé vody 1000 dávek vakcíny na jeden den stáří pro 1000 kuřat, tzn. že potřebujeme 10 l vody pro 1000 kuřat starých 10 dnů. V horku, nebo u těžkých plemen se může toto množství zvýšit až na max. množství 40 litrů na 1000 kuřat. V případě pochybností je třeba spotřebu vody určit den před vakcinací.</w:t>
      </w:r>
    </w:p>
    <w:p w14:paraId="61927F01" w14:textId="77777777" w:rsidR="00226D62" w:rsidRPr="00226D62" w:rsidRDefault="00226D62" w:rsidP="00226D6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1F327D" w14:textId="111D6367" w:rsidR="00226D62" w:rsidRPr="00226D62" w:rsidRDefault="00226D62" w:rsidP="00981B1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ab/>
        <w:t>Rekonstituovanou vakcínu podejte kuřatům okamžitě. Ujistěte se, aby ptáci v průběhu podávání vakcíny neměli přístup ke zdroji nemedikované vody.</w:t>
      </w:r>
    </w:p>
    <w:p w14:paraId="63E0B92E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2CF666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ab/>
        <w:t>Celý obsah otevřených lahviček se musí použít najednou.</w:t>
      </w:r>
    </w:p>
    <w:p w14:paraId="3AF574FB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DF0D10" w14:textId="6671846D" w:rsidR="00226D62" w:rsidRPr="00226D62" w:rsidRDefault="00226D62" w:rsidP="00226D62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ab/>
        <w:t>Připravte pouze takový objem vakcíny, který bude podán během 2 hodin.</w:t>
      </w:r>
    </w:p>
    <w:p w14:paraId="3604D7FC" w14:textId="77777777" w:rsidR="00226D62" w:rsidRPr="00226D62" w:rsidRDefault="00226D62" w:rsidP="00226D62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405EBF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7F970F" w14:textId="77777777" w:rsidR="00226D62" w:rsidRPr="00226D62" w:rsidRDefault="00226D62" w:rsidP="00226D6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9.</w:t>
      </w:r>
      <w:r w:rsidRPr="00226D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Informace o správném podávání</w:t>
      </w:r>
    </w:p>
    <w:p w14:paraId="2AD2F3D7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E14D54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Zabraňte stresování zvířat před, v průběhu a po vakcinaci.</w:t>
      </w:r>
    </w:p>
    <w:p w14:paraId="442AD2D3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9E6B741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631100D8" w14:textId="77777777" w:rsidR="00226D62" w:rsidRPr="00226D62" w:rsidRDefault="00226D62" w:rsidP="00226D6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10.</w:t>
      </w:r>
      <w:r w:rsidRPr="00226D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Ochranné lhůty</w:t>
      </w:r>
    </w:p>
    <w:p w14:paraId="1E5A3C35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06C479A6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iCs/>
          <w:kern w:val="0"/>
          <w14:ligatures w14:val="none"/>
        </w:rPr>
        <w:t>Bez ochranných lhůt.</w:t>
      </w:r>
    </w:p>
    <w:p w14:paraId="3A7B9837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28B57B0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26AFCF62" w14:textId="77777777" w:rsidR="00226D62" w:rsidRPr="00226D62" w:rsidRDefault="00226D62" w:rsidP="00226D6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11.</w:t>
      </w:r>
      <w:r w:rsidRPr="00226D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uchovávání</w:t>
      </w:r>
    </w:p>
    <w:p w14:paraId="41B3B147" w14:textId="77777777" w:rsidR="00226D62" w:rsidRPr="00226D62" w:rsidRDefault="00226D62" w:rsidP="00226D6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25A4BFFE" w14:textId="77777777" w:rsidR="00226D62" w:rsidRPr="00226D62" w:rsidRDefault="00226D62" w:rsidP="00226D6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Uchovávejte mimo dohled a dosah dětí.</w:t>
      </w:r>
    </w:p>
    <w:p w14:paraId="3C664CE3" w14:textId="77777777" w:rsidR="00226D62" w:rsidRPr="00226D62" w:rsidRDefault="00226D62" w:rsidP="00226D6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6D748F" w14:textId="5D46EDCC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Uchovávejte a přepravujte chlazené 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(2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sym w:font="Symbol" w:char="F0B0"/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C – 8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sym w:font="Symbol" w:char="F0B0"/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C). </w:t>
      </w: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Chraňte před mrazem. Chraňte před přímým slunečním zářením.</w:t>
      </w:r>
    </w:p>
    <w:p w14:paraId="6F1D6844" w14:textId="77777777" w:rsidR="00226D62" w:rsidRPr="00226D62" w:rsidRDefault="00226D62" w:rsidP="00226D62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Nepoužívejte tento veterinární léčivý přípravek po uplynutí doby použitelnosti uvedené na etiketě po Exp. Doba použitelnosti končí posledním dnem v uvedeném měsíci.</w:t>
      </w:r>
    </w:p>
    <w:p w14:paraId="5635DC22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32744CE3" w14:textId="5812728C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Doba použitelnosti po rekonstituci podle návodu: 2 hodiny.</w:t>
      </w:r>
    </w:p>
    <w:p w14:paraId="51BB7EE7" w14:textId="54E39065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Rekonstituovanou vakcínu chraňte před přímým slunečním zářením a teplotami nad 25 °C.</w:t>
      </w:r>
    </w:p>
    <w:p w14:paraId="21003CDC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2B8EB4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0E4D82" w14:textId="77777777" w:rsidR="00226D62" w:rsidRPr="00226D62" w:rsidRDefault="00226D62" w:rsidP="00226D6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12.</w:t>
      </w:r>
      <w:r w:rsidRPr="00226D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likvidaci</w:t>
      </w:r>
    </w:p>
    <w:p w14:paraId="02C03DF6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D7C556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Léčivé přípravky se nesmí likvidovat prostřednictvím odpadní vody či domovního odpadu.</w:t>
      </w:r>
    </w:p>
    <w:p w14:paraId="13BA798B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D5825D" w14:textId="77777777" w:rsidR="00226D62" w:rsidRPr="00226D62" w:rsidRDefault="00226D62" w:rsidP="00226D62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0F724D1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4C49A9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O možnostech likvidace nepotřebných léčivých přípravků se poraďte s vaším veterinárním lékařem.</w:t>
      </w:r>
    </w:p>
    <w:p w14:paraId="7DB282CD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4450EB55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6F60F544" w14:textId="77777777" w:rsidR="00226D62" w:rsidRPr="00226D62" w:rsidRDefault="00226D62" w:rsidP="00226D6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13.</w:t>
      </w:r>
      <w:r w:rsidRPr="00226D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Klasifikace veterinárních léčivých přípravků</w:t>
      </w:r>
    </w:p>
    <w:p w14:paraId="75AE264A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FFD700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Veterinární léčivý přípravek je vydáván pouze na předpis.</w:t>
      </w:r>
    </w:p>
    <w:p w14:paraId="55E7E70D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97C593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8368CD" w14:textId="77777777" w:rsidR="00226D62" w:rsidRPr="00226D62" w:rsidRDefault="00226D62" w:rsidP="00226D6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14.</w:t>
      </w:r>
      <w:r w:rsidRPr="00226D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Registrační čísla a velikosti balení</w:t>
      </w:r>
    </w:p>
    <w:p w14:paraId="3D58567E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FAE756" w14:textId="02247ECF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97/1076/97-C</w:t>
      </w:r>
    </w:p>
    <w:p w14:paraId="34896D43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173184D3" w14:textId="4D2174A2" w:rsidR="00226D62" w:rsidRPr="00226D62" w:rsidRDefault="00226D62" w:rsidP="00226D6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Registrovány jsou následující velikosti balení:</w:t>
      </w:r>
    </w:p>
    <w:p w14:paraId="61C15DB1" w14:textId="77777777" w:rsidR="00226D62" w:rsidRPr="00226D62" w:rsidRDefault="00226D62" w:rsidP="00226D6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1 x 1000 / 2500 / 5000 / 10 000 dávek </w:t>
      </w:r>
    </w:p>
    <w:p w14:paraId="523438FD" w14:textId="77777777" w:rsidR="00226D62" w:rsidRPr="00226D62" w:rsidRDefault="00226D62" w:rsidP="00226D6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10 x 1000 / 2500 / 5000 / 10 000 dávek</w:t>
      </w:r>
    </w:p>
    <w:p w14:paraId="7AB1A121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0B7F77BC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Na trhu nemusí být všechny velikosti balení.</w:t>
      </w:r>
    </w:p>
    <w:p w14:paraId="34212DCE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2DD08F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A7050B" w14:textId="77777777" w:rsidR="00226D62" w:rsidRPr="00226D62" w:rsidRDefault="00226D62" w:rsidP="00226D6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15.</w:t>
      </w:r>
      <w:r w:rsidRPr="00226D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Datum poslední revize příbalové informace</w:t>
      </w:r>
    </w:p>
    <w:p w14:paraId="60796404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FED24F" w14:textId="50E35A1B" w:rsidR="00226D62" w:rsidRPr="00226D62" w:rsidRDefault="00D60165" w:rsidP="00226D62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03/2025</w:t>
      </w:r>
    </w:p>
    <w:p w14:paraId="69D6E6E8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6533AF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Podrobné informace o tomto veterinárním léčivém přípravku jsou k dispozici v databázi přípravků Unie </w:t>
      </w: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(</w:t>
      </w:r>
      <w:hyperlink r:id="rId12" w:history="1">
        <w:r w:rsidRPr="00226D6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https://medicines.health.europa.eu/veterinary</w:t>
        </w:r>
      </w:hyperlink>
      <w:r w:rsidRPr="00226D62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697CC5DF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BFDB3E" w14:textId="77777777" w:rsidR="00226D62" w:rsidRPr="00226D62" w:rsidRDefault="00226D62" w:rsidP="00226D62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14:ligatures w14:val="none"/>
        </w:rPr>
        <w:t>Podrobné informace o tomto veterinárním léčivém přípravku naleznete také v národní databázi (</w:t>
      </w:r>
      <w:hyperlink r:id="rId13" w:history="1">
        <w:r w:rsidRPr="00226D6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https://www.uskvbl.cz</w:t>
        </w:r>
      </w:hyperlink>
      <w:r w:rsidRPr="00226D62">
        <w:rPr>
          <w:rFonts w:ascii="Times New Roman" w:eastAsia="Times New Roman" w:hAnsi="Times New Roman" w:cs="Times New Roman"/>
          <w:kern w:val="0"/>
          <w14:ligatures w14:val="none"/>
        </w:rPr>
        <w:t xml:space="preserve">). </w:t>
      </w:r>
    </w:p>
    <w:p w14:paraId="454AD48E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C92F50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290732" w14:textId="77777777" w:rsidR="00226D62" w:rsidRPr="00226D62" w:rsidRDefault="00226D62" w:rsidP="00226D6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16.</w:t>
      </w:r>
      <w:r w:rsidRPr="00226D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Kontaktní údaje</w:t>
      </w:r>
    </w:p>
    <w:p w14:paraId="50060206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88797F" w14:textId="77777777" w:rsidR="00226D62" w:rsidRPr="00226D62" w:rsidRDefault="00226D62" w:rsidP="00226D62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iCs/>
          <w:kern w:val="0"/>
          <w14:ligatures w14:val="none"/>
        </w:rPr>
      </w:pPr>
      <w:bookmarkStart w:id="2" w:name="_Hlk73552578"/>
      <w:r w:rsidRPr="00226D62">
        <w:rPr>
          <w:rFonts w:ascii="Times New Roman" w:eastAsia="Times New Roman" w:hAnsi="Times New Roman" w:cs="Times New Roman"/>
          <w:iCs/>
          <w:kern w:val="0"/>
          <w:u w:val="single"/>
          <w14:ligatures w14:val="none"/>
        </w:rPr>
        <w:t>Držitel rozhodnutí o registraci a výrobce odpovědný za uvolnění šarže a kontaktní údaje pro hlášení podezření na nežádoucí účinky</w:t>
      </w: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bookmarkEnd w:id="2"/>
    <w:p w14:paraId="3BA9C465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E02690" w14:textId="77777777" w:rsidR="00226D62" w:rsidRPr="00226D62" w:rsidRDefault="00226D62" w:rsidP="00226D62">
      <w:pPr>
        <w:tabs>
          <w:tab w:val="left" w:pos="0"/>
        </w:tabs>
        <w:spacing w:after="0" w:line="260" w:lineRule="exact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226D62">
        <w:rPr>
          <w:rFonts w:ascii="Times New Roman" w:eastAsia="Times New Roman" w:hAnsi="Times New Roman" w:cs="Times New Roman"/>
          <w:bCs/>
          <w:kern w:val="0"/>
          <w14:ligatures w14:val="none"/>
        </w:rPr>
        <w:t>Lohmann Animal Health GmbH, Heinz Lohmann Str. 4, 27472 Cuxhaven, Německo</w:t>
      </w:r>
    </w:p>
    <w:p w14:paraId="04345448" w14:textId="77777777" w:rsidR="00226D62" w:rsidRPr="00226D62" w:rsidRDefault="00D14C8A" w:rsidP="00226D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color w:val="0000FF"/>
          <w:spacing w:val="-2"/>
          <w:kern w:val="0"/>
          <w:u w:val="single"/>
          <w:lang w:eastAsia="en-GB"/>
          <w14:ligatures w14:val="none"/>
        </w:rPr>
      </w:pPr>
      <w:hyperlink r:id="rId14" w:history="1">
        <w:r w:rsidR="00226D62" w:rsidRPr="00226D62">
          <w:rPr>
            <w:rFonts w:ascii="Times New Roman" w:eastAsia="Times New Roman" w:hAnsi="Times New Roman" w:cs="Times New Roman"/>
            <w:color w:val="0000FF"/>
            <w:spacing w:val="-2"/>
            <w:kern w:val="0"/>
            <w:u w:val="single"/>
            <w:lang w:eastAsia="en-GB"/>
            <w14:ligatures w14:val="none"/>
          </w:rPr>
          <w:t>PV.CZE@elancoah.com</w:t>
        </w:r>
      </w:hyperlink>
    </w:p>
    <w:p w14:paraId="66920C45" w14:textId="77777777" w:rsidR="00226D62" w:rsidRPr="00226D62" w:rsidRDefault="00226D62" w:rsidP="00226D62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226D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+420228880231</w:t>
      </w:r>
    </w:p>
    <w:p w14:paraId="0BEDA32A" w14:textId="77777777" w:rsidR="00226D62" w:rsidRPr="00226D62" w:rsidRDefault="00226D62" w:rsidP="00226D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A74859" w14:textId="77777777" w:rsidR="00226D62" w:rsidRPr="00226D62" w:rsidRDefault="00226D62" w:rsidP="00981B1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bookmarkEnd w:id="0"/>
    <w:p w14:paraId="3DDA8A00" w14:textId="77777777" w:rsidR="00B8739A" w:rsidRDefault="00B8739A"/>
    <w:sectPr w:rsidR="00B8739A" w:rsidSect="00D13E37">
      <w:footerReference w:type="default" r:id="rId15"/>
      <w:footerReference w:type="first" r:id="rId16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294F8" w14:textId="77777777" w:rsidR="00D14C8A" w:rsidRDefault="00D14C8A">
      <w:pPr>
        <w:spacing w:after="0" w:line="240" w:lineRule="auto"/>
      </w:pPr>
      <w:r>
        <w:separator/>
      </w:r>
    </w:p>
  </w:endnote>
  <w:endnote w:type="continuationSeparator" w:id="0">
    <w:p w14:paraId="5A11B5B3" w14:textId="77777777" w:rsidR="00D14C8A" w:rsidRDefault="00D1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F8CB1" w14:textId="77777777" w:rsidR="00226D62" w:rsidRPr="00E0068C" w:rsidRDefault="00226D62">
    <w:pPr>
      <w:pStyle w:val="Zpat"/>
      <w:tabs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D38DA" w14:textId="77777777" w:rsidR="00226D62" w:rsidRPr="00E0068C" w:rsidRDefault="00226D62">
    <w:pPr>
      <w:pStyle w:val="Zpat"/>
      <w:tabs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C22C3" w14:textId="77777777" w:rsidR="00D14C8A" w:rsidRDefault="00D14C8A">
      <w:pPr>
        <w:spacing w:after="0" w:line="240" w:lineRule="auto"/>
      </w:pPr>
      <w:r>
        <w:separator/>
      </w:r>
    </w:p>
  </w:footnote>
  <w:footnote w:type="continuationSeparator" w:id="0">
    <w:p w14:paraId="530D5174" w14:textId="77777777" w:rsidR="00D14C8A" w:rsidRDefault="00D14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F73"/>
    <w:multiLevelType w:val="singleLevel"/>
    <w:tmpl w:val="B0900482"/>
    <w:lvl w:ilvl="0">
      <w:start w:val="5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1" w15:restartNumberingAfterBreak="0">
    <w:nsid w:val="14E70AC6"/>
    <w:multiLevelType w:val="singleLevel"/>
    <w:tmpl w:val="01A210A4"/>
    <w:lvl w:ilvl="0">
      <w:start w:val="5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62"/>
    <w:rsid w:val="00030142"/>
    <w:rsid w:val="00031BDB"/>
    <w:rsid w:val="00132329"/>
    <w:rsid w:val="001C30C1"/>
    <w:rsid w:val="00226D62"/>
    <w:rsid w:val="00246B5F"/>
    <w:rsid w:val="00290434"/>
    <w:rsid w:val="002A1C87"/>
    <w:rsid w:val="002B06B3"/>
    <w:rsid w:val="002E48FD"/>
    <w:rsid w:val="003E423F"/>
    <w:rsid w:val="0056428F"/>
    <w:rsid w:val="00625B70"/>
    <w:rsid w:val="00676A55"/>
    <w:rsid w:val="00695939"/>
    <w:rsid w:val="00757DF5"/>
    <w:rsid w:val="0076210C"/>
    <w:rsid w:val="007A2A09"/>
    <w:rsid w:val="008E1196"/>
    <w:rsid w:val="00920143"/>
    <w:rsid w:val="00934764"/>
    <w:rsid w:val="00981B1D"/>
    <w:rsid w:val="00A81897"/>
    <w:rsid w:val="00AE294F"/>
    <w:rsid w:val="00B8739A"/>
    <w:rsid w:val="00BE537E"/>
    <w:rsid w:val="00C80A64"/>
    <w:rsid w:val="00C97308"/>
    <w:rsid w:val="00D03B15"/>
    <w:rsid w:val="00D13E37"/>
    <w:rsid w:val="00D14C8A"/>
    <w:rsid w:val="00D60165"/>
    <w:rsid w:val="00D77E3D"/>
    <w:rsid w:val="00F92CB7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510C"/>
  <w15:chartTrackingRefBased/>
  <w15:docId w15:val="{8125745D-8466-48CE-B6BA-5CEC36EB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6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6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6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6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6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6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6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6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6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RD">
    <w:name w:val="QRD"/>
    <w:basedOn w:val="Style1"/>
    <w:link w:val="QRDChar"/>
    <w:qFormat/>
    <w:rsid w:val="00F92CB7"/>
    <w:rPr>
      <w:color w:val="auto"/>
      <w:lang w:val="sl-SI" w:eastAsia="sl-SI"/>
    </w:rPr>
  </w:style>
  <w:style w:type="character" w:customStyle="1" w:styleId="QRDChar">
    <w:name w:val="QRD Char"/>
    <w:basedOn w:val="Style1Char"/>
    <w:link w:val="QRD"/>
    <w:rsid w:val="00F92CB7"/>
    <w:rPr>
      <w:b/>
      <w:color w:val="000000"/>
      <w:lang w:val="sl-SI" w:eastAsia="sl-SI"/>
    </w:rPr>
  </w:style>
  <w:style w:type="paragraph" w:customStyle="1" w:styleId="Style1">
    <w:name w:val="Style1"/>
    <w:basedOn w:val="Normln"/>
    <w:link w:val="Style1Char"/>
    <w:qFormat/>
    <w:rsid w:val="001C30C1"/>
    <w:pPr>
      <w:spacing w:after="0" w:line="240" w:lineRule="auto"/>
      <w:jc w:val="center"/>
    </w:pPr>
    <w:rPr>
      <w:b/>
      <w:color w:val="000000"/>
      <w:lang w:val="lv-LV"/>
    </w:rPr>
  </w:style>
  <w:style w:type="character" w:customStyle="1" w:styleId="Style1Char">
    <w:name w:val="Style1 Char"/>
    <w:basedOn w:val="Standardnpsmoodstavce"/>
    <w:link w:val="Style1"/>
    <w:rsid w:val="001C30C1"/>
    <w:rPr>
      <w:b/>
      <w:color w:val="000000"/>
      <w:lang w:val="lv-LV"/>
    </w:rPr>
  </w:style>
  <w:style w:type="paragraph" w:customStyle="1" w:styleId="TitleA">
    <w:name w:val="Title A"/>
    <w:basedOn w:val="Normln"/>
    <w:link w:val="TitleAChar"/>
    <w:qFormat/>
    <w:rsid w:val="00D77E3D"/>
    <w:pPr>
      <w:spacing w:after="0" w:line="240" w:lineRule="auto"/>
      <w:jc w:val="center"/>
    </w:pPr>
    <w:rPr>
      <w:b/>
    </w:rPr>
  </w:style>
  <w:style w:type="character" w:customStyle="1" w:styleId="TitleAChar">
    <w:name w:val="Title A Char"/>
    <w:basedOn w:val="Standardnpsmoodstavce"/>
    <w:link w:val="TitleA"/>
    <w:rsid w:val="00D77E3D"/>
    <w:rPr>
      <w:b/>
    </w:rPr>
  </w:style>
  <w:style w:type="paragraph" w:customStyle="1" w:styleId="TitleB">
    <w:name w:val="Title B"/>
    <w:basedOn w:val="Normln"/>
    <w:link w:val="TitleBChar"/>
    <w:qFormat/>
    <w:rsid w:val="00D77E3D"/>
    <w:pPr>
      <w:widowControl w:val="0"/>
      <w:tabs>
        <w:tab w:val="left" w:pos="567"/>
      </w:tabs>
      <w:autoSpaceDE w:val="0"/>
      <w:autoSpaceDN w:val="0"/>
      <w:spacing w:after="0" w:line="240" w:lineRule="auto"/>
    </w:pPr>
    <w:rPr>
      <w:lang w:val="en-US"/>
    </w:rPr>
  </w:style>
  <w:style w:type="character" w:customStyle="1" w:styleId="TitleBChar">
    <w:name w:val="Title B Char"/>
    <w:basedOn w:val="Standardnpsmoodstavce"/>
    <w:link w:val="TitleB"/>
    <w:rsid w:val="00D77E3D"/>
    <w:rPr>
      <w:lang w:val="en-US"/>
    </w:rPr>
  </w:style>
  <w:style w:type="paragraph" w:customStyle="1" w:styleId="titleA0">
    <w:name w:val="title A"/>
    <w:basedOn w:val="Normln"/>
    <w:link w:val="titleAChar0"/>
    <w:qFormat/>
    <w:rsid w:val="007A2A09"/>
    <w:pPr>
      <w:spacing w:after="0" w:line="240" w:lineRule="auto"/>
      <w:jc w:val="center"/>
    </w:pPr>
    <w:rPr>
      <w:b/>
    </w:rPr>
  </w:style>
  <w:style w:type="character" w:customStyle="1" w:styleId="titleAChar0">
    <w:name w:val="title A Char"/>
    <w:basedOn w:val="Standardnpsmoodstavce"/>
    <w:link w:val="titleA0"/>
    <w:rsid w:val="007A2A09"/>
    <w:rPr>
      <w:b/>
    </w:rPr>
  </w:style>
  <w:style w:type="paragraph" w:customStyle="1" w:styleId="QRDTitle">
    <w:name w:val="QRD Title"/>
    <w:basedOn w:val="TitleA"/>
    <w:link w:val="QRDTitleChar"/>
    <w:autoRedefine/>
    <w:qFormat/>
    <w:rsid w:val="00FD3287"/>
  </w:style>
  <w:style w:type="character" w:customStyle="1" w:styleId="QRDTitleChar">
    <w:name w:val="QRD Title Char"/>
    <w:basedOn w:val="TitleAChar"/>
    <w:link w:val="QRDTitle"/>
    <w:rsid w:val="00FD3287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226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6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6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D6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6D6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6D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6D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6D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6D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6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6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6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6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6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6D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6D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6D6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6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6D6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6D62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semiHidden/>
    <w:unhideWhenUsed/>
    <w:rsid w:val="00226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6D62"/>
  </w:style>
  <w:style w:type="paragraph" w:styleId="Textbubliny">
    <w:name w:val="Balloon Text"/>
    <w:basedOn w:val="Normln"/>
    <w:link w:val="TextbublinyChar"/>
    <w:uiPriority w:val="99"/>
    <w:semiHidden/>
    <w:unhideWhenUsed/>
    <w:rsid w:val="002A1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C87"/>
    <w:rPr>
      <w:rFonts w:ascii="Segoe UI" w:hAnsi="Segoe UI" w:cs="Segoe UI"/>
      <w:sz w:val="18"/>
      <w:szCs w:val="18"/>
    </w:rPr>
  </w:style>
  <w:style w:type="character" w:styleId="Odkaznakoment">
    <w:name w:val="annotation reference"/>
    <w:qFormat/>
    <w:rsid w:val="00C80A64"/>
    <w:rPr>
      <w:sz w:val="16"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sid w:val="00C80A64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xtkomenteChar">
    <w:name w:val="Text komentáře Char"/>
    <w:aliases w:val="Kommentarer Char"/>
    <w:basedOn w:val="Standardnpsmoodstavce"/>
    <w:link w:val="Textkomente"/>
    <w:uiPriority w:val="99"/>
    <w:qFormat/>
    <w:rsid w:val="00C80A64"/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/cs/registrace-a-schvalovani/registrace-vlp/seznam-vlp/aktualne-registrovane-vl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dr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V.CZE@elanco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82DDC-87A0-46AC-9E93-5D6CF5E80776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2.xml><?xml version="1.0" encoding="utf-8"?>
<ds:datastoreItem xmlns:ds="http://schemas.openxmlformats.org/officeDocument/2006/customXml" ds:itemID="{3B1BD048-CC57-4E79-8738-250C9D4EE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A0B15-89FE-4E53-94C3-BD1D36422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1405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Tusar</dc:creator>
  <cp:keywords/>
  <dc:description/>
  <cp:lastModifiedBy>Nepejchalová Leona</cp:lastModifiedBy>
  <cp:revision>7</cp:revision>
  <dcterms:created xsi:type="dcterms:W3CDTF">2025-02-21T12:51:00Z</dcterms:created>
  <dcterms:modified xsi:type="dcterms:W3CDTF">2025-03-27T16:44:00Z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0x010100F9FE20DFD7E4F24EB6978DB77E30EE02</vt:lpwstr>
  </property>
</Properties>
</file>