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3A73A" w14:textId="77777777" w:rsidR="0060166E" w:rsidRDefault="0060166E">
      <w:pPr>
        <w:pStyle w:val="Nadpis1"/>
      </w:pPr>
      <w:bookmarkStart w:id="0" w:name="_GoBack"/>
      <w:bookmarkEnd w:id="0"/>
    </w:p>
    <w:p w14:paraId="16B3207C" w14:textId="77777777" w:rsidR="0060166E" w:rsidRDefault="0060166E">
      <w:pPr>
        <w:pStyle w:val="Nadpis1"/>
      </w:pPr>
    </w:p>
    <w:p w14:paraId="6A3B77BA" w14:textId="77777777" w:rsidR="00D06BAB" w:rsidRPr="00B41D57" w:rsidRDefault="00D06BAB" w:rsidP="00D06BAB">
      <w:pPr>
        <w:rPr>
          <w:szCs w:val="22"/>
        </w:rPr>
      </w:pPr>
    </w:p>
    <w:p w14:paraId="066D02B9" w14:textId="77777777" w:rsidR="00D06BAB" w:rsidRPr="00B41D57" w:rsidRDefault="00D06BAB" w:rsidP="00D06BAB">
      <w:pPr>
        <w:rPr>
          <w:szCs w:val="22"/>
        </w:rPr>
      </w:pPr>
    </w:p>
    <w:p w14:paraId="1F0E391E" w14:textId="77777777" w:rsidR="00D06BAB" w:rsidRPr="00B41D57" w:rsidRDefault="00D06BAB" w:rsidP="00D06BAB">
      <w:pPr>
        <w:rPr>
          <w:szCs w:val="22"/>
        </w:rPr>
      </w:pPr>
    </w:p>
    <w:p w14:paraId="7FB1F96E" w14:textId="77777777" w:rsidR="00D06BAB" w:rsidRPr="00B41D57" w:rsidRDefault="00D06BAB" w:rsidP="00D06BAB">
      <w:pPr>
        <w:rPr>
          <w:szCs w:val="22"/>
        </w:rPr>
      </w:pPr>
    </w:p>
    <w:p w14:paraId="69BAE061" w14:textId="77777777" w:rsidR="00D06BAB" w:rsidRPr="00B41D57" w:rsidRDefault="00D06BAB" w:rsidP="00D06BAB">
      <w:pPr>
        <w:rPr>
          <w:szCs w:val="22"/>
        </w:rPr>
      </w:pPr>
    </w:p>
    <w:p w14:paraId="413EC6F9" w14:textId="77777777" w:rsidR="00D06BAB" w:rsidRPr="00B41D57" w:rsidRDefault="00D06BAB" w:rsidP="00D06BAB">
      <w:pPr>
        <w:rPr>
          <w:szCs w:val="22"/>
        </w:rPr>
      </w:pPr>
    </w:p>
    <w:p w14:paraId="20642137" w14:textId="77777777" w:rsidR="00D06BAB" w:rsidRPr="00B41D57" w:rsidRDefault="00D06BAB" w:rsidP="00D06BAB">
      <w:pPr>
        <w:rPr>
          <w:szCs w:val="22"/>
        </w:rPr>
      </w:pPr>
    </w:p>
    <w:p w14:paraId="3C5AFDE4" w14:textId="77777777" w:rsidR="00D06BAB" w:rsidRPr="00B41D57" w:rsidRDefault="00D06BAB" w:rsidP="00D06BAB">
      <w:pPr>
        <w:rPr>
          <w:szCs w:val="22"/>
        </w:rPr>
      </w:pPr>
    </w:p>
    <w:p w14:paraId="09CAF58A" w14:textId="77777777" w:rsidR="00D06BAB" w:rsidRPr="00B41D57" w:rsidRDefault="00D06BAB" w:rsidP="00D06BAB">
      <w:pPr>
        <w:rPr>
          <w:szCs w:val="22"/>
        </w:rPr>
      </w:pPr>
    </w:p>
    <w:p w14:paraId="4A3A5D37" w14:textId="77777777" w:rsidR="00D06BAB" w:rsidRPr="00B41D57" w:rsidRDefault="00D06BAB" w:rsidP="00D06BAB">
      <w:pPr>
        <w:rPr>
          <w:szCs w:val="22"/>
        </w:rPr>
      </w:pPr>
    </w:p>
    <w:p w14:paraId="3C16D5A8" w14:textId="77777777" w:rsidR="00D06BAB" w:rsidRPr="00B41D57" w:rsidRDefault="00D06BAB" w:rsidP="00D06BAB">
      <w:pPr>
        <w:rPr>
          <w:szCs w:val="22"/>
        </w:rPr>
      </w:pPr>
    </w:p>
    <w:p w14:paraId="530F5D3B" w14:textId="77777777" w:rsidR="00D06BAB" w:rsidRPr="00B41D57" w:rsidRDefault="00D06BAB" w:rsidP="00D06BAB">
      <w:pPr>
        <w:rPr>
          <w:szCs w:val="22"/>
        </w:rPr>
      </w:pPr>
    </w:p>
    <w:p w14:paraId="0F787A0D" w14:textId="77777777" w:rsidR="00D06BAB" w:rsidRPr="00B41D57" w:rsidRDefault="00D06BAB" w:rsidP="00D06BAB">
      <w:pPr>
        <w:rPr>
          <w:szCs w:val="22"/>
        </w:rPr>
      </w:pPr>
    </w:p>
    <w:p w14:paraId="1BEF017E" w14:textId="77777777" w:rsidR="00D06BAB" w:rsidRPr="00B41D57" w:rsidRDefault="00D06BAB" w:rsidP="00D06BAB">
      <w:pPr>
        <w:rPr>
          <w:szCs w:val="22"/>
        </w:rPr>
      </w:pPr>
    </w:p>
    <w:p w14:paraId="3B18FE2A" w14:textId="77777777" w:rsidR="00D06BAB" w:rsidRPr="00B41D57" w:rsidRDefault="00D06BAB" w:rsidP="00D06BAB">
      <w:pPr>
        <w:rPr>
          <w:szCs w:val="22"/>
        </w:rPr>
      </w:pPr>
    </w:p>
    <w:p w14:paraId="48DB5E5C" w14:textId="77777777" w:rsidR="00D06BAB" w:rsidRPr="00B41D57" w:rsidRDefault="00D06BAB" w:rsidP="00D06BAB">
      <w:pPr>
        <w:rPr>
          <w:szCs w:val="22"/>
        </w:rPr>
      </w:pPr>
    </w:p>
    <w:p w14:paraId="22BFC5BE" w14:textId="77777777" w:rsidR="00D06BAB" w:rsidRPr="00B41D57" w:rsidRDefault="00D06BAB" w:rsidP="00D06BAB">
      <w:pPr>
        <w:rPr>
          <w:szCs w:val="22"/>
        </w:rPr>
      </w:pPr>
    </w:p>
    <w:p w14:paraId="3211C717" w14:textId="77777777" w:rsidR="00D06BAB" w:rsidRPr="00B41D57" w:rsidRDefault="00D06BAB" w:rsidP="00D06BAB">
      <w:pPr>
        <w:rPr>
          <w:szCs w:val="22"/>
        </w:rPr>
      </w:pPr>
    </w:p>
    <w:p w14:paraId="6F0F989E" w14:textId="77777777" w:rsidR="00D06BAB" w:rsidRPr="00B41D57" w:rsidRDefault="00D06BAB" w:rsidP="00D06BAB">
      <w:pPr>
        <w:rPr>
          <w:szCs w:val="22"/>
        </w:rPr>
      </w:pPr>
    </w:p>
    <w:p w14:paraId="445EC861" w14:textId="77777777" w:rsidR="00D06BAB" w:rsidRPr="00B41D57" w:rsidRDefault="00D06BAB" w:rsidP="00D06BAB">
      <w:pPr>
        <w:rPr>
          <w:szCs w:val="22"/>
        </w:rPr>
      </w:pPr>
    </w:p>
    <w:p w14:paraId="033A0922" w14:textId="77777777" w:rsidR="00D06BAB" w:rsidRPr="00B41D57" w:rsidRDefault="00D06BAB" w:rsidP="00D06BAB">
      <w:pPr>
        <w:rPr>
          <w:szCs w:val="22"/>
        </w:rPr>
      </w:pPr>
    </w:p>
    <w:p w14:paraId="647D134C" w14:textId="77777777" w:rsidR="00D06BAB" w:rsidRDefault="00D06BAB" w:rsidP="00D06BAB">
      <w:pPr>
        <w:rPr>
          <w:szCs w:val="22"/>
        </w:rPr>
      </w:pPr>
    </w:p>
    <w:p w14:paraId="2D5A426C" w14:textId="77777777" w:rsidR="00D06BAB" w:rsidRPr="00B41D57" w:rsidRDefault="00D06BAB" w:rsidP="00D06BAB">
      <w:pPr>
        <w:rPr>
          <w:szCs w:val="22"/>
        </w:rPr>
      </w:pPr>
    </w:p>
    <w:p w14:paraId="7AB304B8" w14:textId="77777777" w:rsidR="00D06BAB" w:rsidRPr="00B41D57" w:rsidRDefault="00D06BAB" w:rsidP="00D06BAB">
      <w:pPr>
        <w:pStyle w:val="Style3"/>
      </w:pPr>
      <w:r w:rsidRPr="00B41D57">
        <w:t>PŘÍBALOVÁ INFORMACE</w:t>
      </w:r>
    </w:p>
    <w:p w14:paraId="70F1E24D" w14:textId="40C8FEBB" w:rsidR="0060166E" w:rsidRPr="00053DC1" w:rsidRDefault="00D06BAB" w:rsidP="00B318B6">
      <w:pPr>
        <w:pStyle w:val="Nadpis1"/>
        <w:jc w:val="center"/>
        <w:rPr>
          <w:sz w:val="22"/>
          <w:szCs w:val="22"/>
        </w:rPr>
      </w:pPr>
      <w:r>
        <w:br w:type="page"/>
      </w:r>
      <w:r w:rsidR="0060166E" w:rsidRPr="00053DC1">
        <w:rPr>
          <w:sz w:val="22"/>
          <w:szCs w:val="22"/>
        </w:rPr>
        <w:lastRenderedPageBreak/>
        <w:t>PŘÍBALOVÁ INFORMACE</w:t>
      </w:r>
    </w:p>
    <w:p w14:paraId="0A839917" w14:textId="77777777" w:rsidR="0060166E" w:rsidRDefault="0060166E">
      <w:pPr>
        <w:widowControl w:val="0"/>
        <w:tabs>
          <w:tab w:val="left" w:pos="708"/>
        </w:tabs>
        <w:jc w:val="center"/>
        <w:rPr>
          <w:b/>
          <w:snapToGrid w:val="0"/>
          <w:sz w:val="28"/>
        </w:rPr>
      </w:pPr>
    </w:p>
    <w:p w14:paraId="198179E9" w14:textId="40A03D9A" w:rsidR="0060166E" w:rsidRDefault="009E32D8">
      <w:pPr>
        <w:spacing w:line="360" w:lineRule="auto"/>
        <w:rPr>
          <w:b/>
        </w:rPr>
      </w:pPr>
      <w:r>
        <w:rPr>
          <w:b/>
        </w:rPr>
        <w:t>1</w:t>
      </w:r>
      <w:r w:rsidR="0060166E">
        <w:rPr>
          <w:b/>
        </w:rPr>
        <w:t>.</w:t>
      </w:r>
      <w:r w:rsidR="0060166E">
        <w:rPr>
          <w:b/>
        </w:rPr>
        <w:tab/>
        <w:t>N</w:t>
      </w:r>
      <w:r>
        <w:rPr>
          <w:b/>
        </w:rPr>
        <w:t>ázev veterinárního léčivého přípravku</w:t>
      </w:r>
    </w:p>
    <w:p w14:paraId="172E9D2A" w14:textId="77777777" w:rsidR="0060166E" w:rsidRDefault="0060166E">
      <w:pPr>
        <w:rPr>
          <w:snapToGrid w:val="0"/>
        </w:rPr>
      </w:pPr>
      <w:r>
        <w:rPr>
          <w:snapToGrid w:val="0"/>
        </w:rPr>
        <w:t xml:space="preserve">BONHAREN </w:t>
      </w:r>
      <w:r>
        <w:rPr>
          <w:bCs/>
          <w:snapToGrid w:val="0"/>
        </w:rPr>
        <w:t>Intra</w:t>
      </w:r>
      <w:r>
        <w:rPr>
          <w:snapToGrid w:val="0"/>
        </w:rPr>
        <w:t>-</w:t>
      </w:r>
      <w:proofErr w:type="spellStart"/>
      <w:r>
        <w:rPr>
          <w:snapToGrid w:val="0"/>
        </w:rPr>
        <w:t>articular</w:t>
      </w:r>
      <w:proofErr w:type="spellEnd"/>
      <w:r>
        <w:rPr>
          <w:snapToGrid w:val="0"/>
        </w:rPr>
        <w:t xml:space="preserve"> </w:t>
      </w:r>
      <w:r>
        <w:rPr>
          <w:bCs/>
          <w:snapToGrid w:val="0"/>
        </w:rPr>
        <w:t>10 mg/ml injekční roztok</w:t>
      </w:r>
      <w:r>
        <w:rPr>
          <w:snapToGrid w:val="0"/>
        </w:rPr>
        <w:t xml:space="preserve"> </w:t>
      </w:r>
      <w:r w:rsidR="009E32D8" w:rsidRPr="00747D28">
        <w:rPr>
          <w:bCs/>
          <w:snapToGrid w:val="0"/>
        </w:rPr>
        <w:t>pro koně, psy a kočky</w:t>
      </w:r>
    </w:p>
    <w:p w14:paraId="04006091" w14:textId="77777777" w:rsidR="009E32D8" w:rsidRDefault="009E32D8"/>
    <w:p w14:paraId="1E1F7F53" w14:textId="77777777" w:rsidR="0060166E" w:rsidRDefault="0060166E">
      <w:pPr>
        <w:rPr>
          <w:b/>
        </w:rPr>
      </w:pPr>
    </w:p>
    <w:p w14:paraId="39645C0F" w14:textId="31B64444" w:rsidR="0060166E" w:rsidRDefault="009E32D8">
      <w:pPr>
        <w:spacing w:line="360" w:lineRule="auto"/>
        <w:rPr>
          <w:b/>
        </w:rPr>
      </w:pPr>
      <w:r>
        <w:rPr>
          <w:b/>
        </w:rPr>
        <w:t>2</w:t>
      </w:r>
      <w:r w:rsidR="0060166E">
        <w:rPr>
          <w:b/>
        </w:rPr>
        <w:t>.</w:t>
      </w:r>
      <w:r w:rsidR="0060166E">
        <w:rPr>
          <w:b/>
        </w:rPr>
        <w:tab/>
      </w:r>
      <w:r>
        <w:rPr>
          <w:b/>
        </w:rPr>
        <w:t>Složení</w:t>
      </w:r>
    </w:p>
    <w:p w14:paraId="5A2C7B2C" w14:textId="34229AD9" w:rsidR="0060166E" w:rsidRDefault="00CA2AB4">
      <w:pPr>
        <w:jc w:val="both"/>
      </w:pPr>
      <w:r>
        <w:t>Každý</w:t>
      </w:r>
      <w:r w:rsidR="0060166E">
        <w:t xml:space="preserve"> ml </w:t>
      </w:r>
      <w:r>
        <w:t>obsahuje:</w:t>
      </w:r>
    </w:p>
    <w:p w14:paraId="50B66A21" w14:textId="77777777" w:rsidR="00CA2AB4" w:rsidRDefault="00CA2AB4">
      <w:pPr>
        <w:jc w:val="both"/>
      </w:pPr>
    </w:p>
    <w:p w14:paraId="38E4114C" w14:textId="77777777" w:rsidR="00CA2AB4" w:rsidRPr="00053DC1" w:rsidRDefault="0060166E">
      <w:pPr>
        <w:jc w:val="both"/>
        <w:rPr>
          <w:b/>
        </w:rPr>
      </w:pPr>
      <w:r w:rsidRPr="00053DC1">
        <w:rPr>
          <w:b/>
        </w:rPr>
        <w:t xml:space="preserve">Léčivá látka: </w:t>
      </w:r>
    </w:p>
    <w:p w14:paraId="777E2B03" w14:textId="01125F71" w:rsidR="0060166E" w:rsidRDefault="0060166E">
      <w:pPr>
        <w:jc w:val="both"/>
      </w:pPr>
      <w:r>
        <w:t xml:space="preserve">Natrii </w:t>
      </w:r>
      <w:proofErr w:type="spellStart"/>
      <w:r>
        <w:t>hyaluronas</w:t>
      </w:r>
      <w:proofErr w:type="spellEnd"/>
      <w:r>
        <w:t xml:space="preserve"> 10 mg </w:t>
      </w:r>
    </w:p>
    <w:p w14:paraId="3E44FEBC" w14:textId="207860A3" w:rsidR="0060166E" w:rsidRDefault="0060166E">
      <w:pPr>
        <w:jc w:val="both"/>
      </w:pPr>
    </w:p>
    <w:p w14:paraId="45200BDB" w14:textId="14F764BD" w:rsidR="00CA2AB4" w:rsidRDefault="00CA7B93">
      <w:pPr>
        <w:jc w:val="both"/>
      </w:pPr>
      <w:r>
        <w:t>Čirý bezbarvý roztok.</w:t>
      </w:r>
    </w:p>
    <w:p w14:paraId="6482668E" w14:textId="77777777" w:rsidR="00CA2AB4" w:rsidRDefault="00CA2AB4">
      <w:pPr>
        <w:jc w:val="both"/>
      </w:pPr>
    </w:p>
    <w:p w14:paraId="77ED5AD2" w14:textId="77777777" w:rsidR="009E32D8" w:rsidRPr="00747D28" w:rsidRDefault="009E32D8" w:rsidP="009E32D8">
      <w:pPr>
        <w:spacing w:after="120"/>
      </w:pPr>
      <w:r w:rsidRPr="00747D28">
        <w:rPr>
          <w:b/>
        </w:rPr>
        <w:t>3.</w:t>
      </w:r>
      <w:r w:rsidRPr="00747D28">
        <w:rPr>
          <w:b/>
        </w:rPr>
        <w:tab/>
        <w:t>Cílové druhy zvířat</w:t>
      </w:r>
    </w:p>
    <w:p w14:paraId="67C21309" w14:textId="65EDC0BB" w:rsidR="009E32D8" w:rsidRPr="00747D28" w:rsidRDefault="00042BED" w:rsidP="009E32D8">
      <w:r>
        <w:t>K</w:t>
      </w:r>
      <w:r w:rsidR="00E73F94">
        <w:t>oně</w:t>
      </w:r>
      <w:r w:rsidR="009E32D8" w:rsidRPr="00747D28">
        <w:t>, ps</w:t>
      </w:r>
      <w:r w:rsidR="00E73F94">
        <w:t>i</w:t>
      </w:r>
      <w:r w:rsidR="009E32D8" w:rsidRPr="00747D28">
        <w:t>, kočk</w:t>
      </w:r>
      <w:r w:rsidR="00E73F94">
        <w:t>y</w:t>
      </w:r>
    </w:p>
    <w:p w14:paraId="1B613E14" w14:textId="77777777" w:rsidR="009E32D8" w:rsidRDefault="009E32D8"/>
    <w:p w14:paraId="7C9737C4" w14:textId="77777777" w:rsidR="0060166E" w:rsidRDefault="0060166E"/>
    <w:p w14:paraId="50434460" w14:textId="77777777" w:rsidR="0060166E" w:rsidRDefault="0060166E">
      <w:pPr>
        <w:spacing w:line="360" w:lineRule="auto"/>
        <w:rPr>
          <w:b/>
        </w:rPr>
      </w:pPr>
      <w:r>
        <w:rPr>
          <w:b/>
        </w:rPr>
        <w:t>4.</w:t>
      </w:r>
      <w:r>
        <w:rPr>
          <w:b/>
        </w:rPr>
        <w:tab/>
        <w:t>I</w:t>
      </w:r>
      <w:r w:rsidR="0039233A">
        <w:rPr>
          <w:b/>
        </w:rPr>
        <w:t>ndikace pro použití</w:t>
      </w:r>
    </w:p>
    <w:p w14:paraId="3FA2FF8D" w14:textId="77777777" w:rsidR="0060166E" w:rsidRDefault="0060166E">
      <w:pPr>
        <w:widowControl w:val="0"/>
        <w:tabs>
          <w:tab w:val="left" w:pos="708"/>
        </w:tabs>
        <w:rPr>
          <w:snapToGrid w:val="0"/>
        </w:rPr>
      </w:pPr>
      <w:r>
        <w:rPr>
          <w:snapToGrid w:val="0"/>
        </w:rPr>
        <w:t>Ortopedické:</w:t>
      </w:r>
    </w:p>
    <w:p w14:paraId="6B32948B" w14:textId="77777777" w:rsidR="0060166E" w:rsidRDefault="0060166E">
      <w:pPr>
        <w:widowControl w:val="0"/>
        <w:numPr>
          <w:ilvl w:val="0"/>
          <w:numId w:val="1"/>
        </w:numPr>
        <w:tabs>
          <w:tab w:val="left" w:pos="360"/>
        </w:tabs>
        <w:ind w:left="360" w:hanging="360"/>
        <w:rPr>
          <w:snapToGrid w:val="0"/>
        </w:rPr>
      </w:pPr>
      <w:r>
        <w:rPr>
          <w:snapToGrid w:val="0"/>
        </w:rPr>
        <w:t xml:space="preserve">Akutní a chronické artrózy, polyartrózy, </w:t>
      </w:r>
    </w:p>
    <w:p w14:paraId="0E798DE9" w14:textId="77777777" w:rsidR="0060166E" w:rsidRDefault="0060166E">
      <w:pPr>
        <w:widowControl w:val="0"/>
        <w:numPr>
          <w:ilvl w:val="0"/>
          <w:numId w:val="1"/>
        </w:numPr>
        <w:tabs>
          <w:tab w:val="left" w:pos="360"/>
        </w:tabs>
        <w:spacing w:before="120" w:line="120" w:lineRule="auto"/>
        <w:ind w:left="360" w:hanging="360"/>
        <w:rPr>
          <w:snapToGrid w:val="0"/>
        </w:rPr>
      </w:pPr>
      <w:r>
        <w:rPr>
          <w:snapToGrid w:val="0"/>
        </w:rPr>
        <w:t>Subakutní a chronické artritidy,</w:t>
      </w:r>
    </w:p>
    <w:p w14:paraId="6845EF65" w14:textId="77777777" w:rsidR="0060166E" w:rsidRDefault="0060166E">
      <w:pPr>
        <w:widowControl w:val="0"/>
        <w:numPr>
          <w:ilvl w:val="0"/>
          <w:numId w:val="1"/>
        </w:numPr>
        <w:tabs>
          <w:tab w:val="left" w:pos="360"/>
        </w:tabs>
        <w:spacing w:before="120" w:line="120" w:lineRule="auto"/>
        <w:ind w:left="360" w:hanging="360"/>
        <w:rPr>
          <w:snapToGrid w:val="0"/>
        </w:rPr>
      </w:pPr>
      <w:r>
        <w:rPr>
          <w:snapToGrid w:val="0"/>
        </w:rPr>
        <w:t xml:space="preserve">Akutní a chronické </w:t>
      </w:r>
      <w:proofErr w:type="spellStart"/>
      <w:r>
        <w:rPr>
          <w:snapToGrid w:val="0"/>
        </w:rPr>
        <w:t>tendovaginitidy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tendinózy</w:t>
      </w:r>
      <w:proofErr w:type="spellEnd"/>
      <w:r>
        <w:rPr>
          <w:snapToGrid w:val="0"/>
        </w:rPr>
        <w:t xml:space="preserve"> a bursitidy</w:t>
      </w:r>
    </w:p>
    <w:p w14:paraId="5DFDE808" w14:textId="77777777" w:rsidR="0060166E" w:rsidRDefault="0060166E">
      <w:pPr>
        <w:widowControl w:val="0"/>
        <w:numPr>
          <w:ilvl w:val="0"/>
          <w:numId w:val="1"/>
        </w:numPr>
        <w:tabs>
          <w:tab w:val="left" w:pos="360"/>
        </w:tabs>
        <w:spacing w:before="120" w:line="120" w:lineRule="auto"/>
        <w:ind w:left="360" w:hanging="360"/>
        <w:rPr>
          <w:snapToGrid w:val="0"/>
        </w:rPr>
      </w:pPr>
      <w:r>
        <w:rPr>
          <w:snapToGrid w:val="0"/>
        </w:rPr>
        <w:t>Osteochondrózy</w:t>
      </w:r>
    </w:p>
    <w:p w14:paraId="70BB5BC9" w14:textId="77777777" w:rsidR="0060166E" w:rsidRDefault="0060166E">
      <w:pPr>
        <w:widowControl w:val="0"/>
        <w:tabs>
          <w:tab w:val="left" w:pos="708"/>
        </w:tabs>
        <w:spacing w:before="120" w:line="120" w:lineRule="auto"/>
        <w:rPr>
          <w:snapToGrid w:val="0"/>
        </w:rPr>
      </w:pPr>
    </w:p>
    <w:p w14:paraId="5EBD28E6" w14:textId="77777777" w:rsidR="0060166E" w:rsidRDefault="0060166E">
      <w:pPr>
        <w:widowControl w:val="0"/>
        <w:tabs>
          <w:tab w:val="left" w:pos="708"/>
        </w:tabs>
        <w:rPr>
          <w:snapToGrid w:val="0"/>
        </w:rPr>
      </w:pPr>
      <w:r>
        <w:rPr>
          <w:snapToGrid w:val="0"/>
        </w:rPr>
        <w:t>Oftalmologické:</w:t>
      </w:r>
    </w:p>
    <w:p w14:paraId="19D6FB90" w14:textId="77777777" w:rsidR="0060166E" w:rsidRDefault="0060166E">
      <w:pPr>
        <w:widowControl w:val="0"/>
        <w:numPr>
          <w:ilvl w:val="0"/>
          <w:numId w:val="1"/>
        </w:numPr>
        <w:tabs>
          <w:tab w:val="left" w:pos="360"/>
        </w:tabs>
        <w:spacing w:before="120" w:line="120" w:lineRule="auto"/>
        <w:ind w:left="360" w:hanging="360"/>
        <w:rPr>
          <w:snapToGrid w:val="0"/>
        </w:rPr>
      </w:pPr>
      <w:r>
        <w:rPr>
          <w:snapToGrid w:val="0"/>
        </w:rPr>
        <w:t xml:space="preserve">Akutní a chronické keratitidy, </w:t>
      </w:r>
    </w:p>
    <w:p w14:paraId="677D8E63" w14:textId="77777777" w:rsidR="0060166E" w:rsidRDefault="0060166E">
      <w:pPr>
        <w:widowControl w:val="0"/>
        <w:numPr>
          <w:ilvl w:val="0"/>
          <w:numId w:val="1"/>
        </w:numPr>
        <w:tabs>
          <w:tab w:val="left" w:pos="360"/>
        </w:tabs>
        <w:spacing w:before="120" w:line="120" w:lineRule="auto"/>
        <w:ind w:left="360" w:hanging="360"/>
        <w:rPr>
          <w:snapToGrid w:val="0"/>
        </w:rPr>
      </w:pPr>
      <w:r>
        <w:rPr>
          <w:snapToGrid w:val="0"/>
        </w:rPr>
        <w:t>Konjuktivitidy, keratokonjunktivitidy,</w:t>
      </w:r>
    </w:p>
    <w:p w14:paraId="56CC6C51" w14:textId="77777777" w:rsidR="0060166E" w:rsidRDefault="0060166E">
      <w:pPr>
        <w:widowControl w:val="0"/>
        <w:numPr>
          <w:ilvl w:val="0"/>
          <w:numId w:val="1"/>
        </w:numPr>
        <w:tabs>
          <w:tab w:val="left" w:pos="360"/>
        </w:tabs>
        <w:spacing w:before="120" w:line="120" w:lineRule="auto"/>
        <w:ind w:left="360" w:hanging="360"/>
        <w:rPr>
          <w:snapToGrid w:val="0"/>
        </w:rPr>
      </w:pPr>
      <w:r>
        <w:rPr>
          <w:snapToGrid w:val="0"/>
        </w:rPr>
        <w:t xml:space="preserve">Keratokonjunktivitis sicca, </w:t>
      </w:r>
    </w:p>
    <w:p w14:paraId="7B643F08" w14:textId="77777777" w:rsidR="0060166E" w:rsidRDefault="0060166E">
      <w:pPr>
        <w:widowControl w:val="0"/>
        <w:numPr>
          <w:ilvl w:val="0"/>
          <w:numId w:val="1"/>
        </w:numPr>
        <w:tabs>
          <w:tab w:val="left" w:pos="360"/>
        </w:tabs>
        <w:spacing w:before="120" w:line="120" w:lineRule="auto"/>
        <w:ind w:left="360" w:hanging="360"/>
        <w:rPr>
          <w:snapToGrid w:val="0"/>
        </w:rPr>
      </w:pPr>
      <w:r>
        <w:rPr>
          <w:snapToGrid w:val="0"/>
        </w:rPr>
        <w:t xml:space="preserve">Ulcus corneae, </w:t>
      </w:r>
    </w:p>
    <w:p w14:paraId="4FD30D6B" w14:textId="77777777" w:rsidR="0060166E" w:rsidRDefault="0060166E">
      <w:pPr>
        <w:widowControl w:val="0"/>
        <w:numPr>
          <w:ilvl w:val="0"/>
          <w:numId w:val="1"/>
        </w:numPr>
        <w:tabs>
          <w:tab w:val="left" w:pos="360"/>
        </w:tabs>
        <w:spacing w:before="120" w:line="120" w:lineRule="auto"/>
        <w:ind w:left="360" w:hanging="360"/>
        <w:rPr>
          <w:snapToGrid w:val="0"/>
        </w:rPr>
      </w:pPr>
      <w:r>
        <w:rPr>
          <w:snapToGrid w:val="0"/>
        </w:rPr>
        <w:t>Poranění rohovky</w:t>
      </w:r>
    </w:p>
    <w:p w14:paraId="6EB690EB" w14:textId="77777777" w:rsidR="0060166E" w:rsidRDefault="0060166E">
      <w:pPr>
        <w:rPr>
          <w:b/>
        </w:rPr>
      </w:pPr>
    </w:p>
    <w:p w14:paraId="6CE27969" w14:textId="77777777" w:rsidR="0060166E" w:rsidRDefault="0060166E">
      <w:pPr>
        <w:rPr>
          <w:b/>
        </w:rPr>
      </w:pPr>
    </w:p>
    <w:p w14:paraId="47589CAB" w14:textId="77777777" w:rsidR="0060166E" w:rsidRDefault="0060166E">
      <w:pPr>
        <w:spacing w:line="360" w:lineRule="auto"/>
        <w:rPr>
          <w:b/>
        </w:rPr>
      </w:pPr>
      <w:r>
        <w:rPr>
          <w:b/>
        </w:rPr>
        <w:t xml:space="preserve">5. </w:t>
      </w:r>
      <w:r>
        <w:rPr>
          <w:b/>
        </w:rPr>
        <w:tab/>
        <w:t>K</w:t>
      </w:r>
      <w:r w:rsidR="0039233A">
        <w:rPr>
          <w:b/>
        </w:rPr>
        <w:t>ontraindikace</w:t>
      </w:r>
    </w:p>
    <w:p w14:paraId="2D7F18C6" w14:textId="4B1EF226" w:rsidR="0060166E" w:rsidRDefault="00FD725F">
      <w:pPr>
        <w:pStyle w:val="Zkladntext2"/>
        <w:spacing w:after="0" w:line="240" w:lineRule="auto"/>
        <w:jc w:val="both"/>
      </w:pPr>
      <w:r w:rsidRPr="00B41D57">
        <w:t>Nepoužívat v případech přecitlivělosti na léčivou látku nebo na některou z pomocných látek</w:t>
      </w:r>
      <w:r>
        <w:t xml:space="preserve">. </w:t>
      </w:r>
      <w:r w:rsidR="0060166E">
        <w:t xml:space="preserve">Při </w:t>
      </w:r>
      <w:proofErr w:type="spellStart"/>
      <w:r w:rsidR="0060166E">
        <w:t>i.a</w:t>
      </w:r>
      <w:proofErr w:type="spellEnd"/>
      <w:r w:rsidR="0060166E">
        <w:t xml:space="preserve">. aplikaci jsou v literatuře kontraindikovány infekční stavy: infekční artritida, </w:t>
      </w:r>
      <w:proofErr w:type="spellStart"/>
      <w:r w:rsidR="0060166E">
        <w:t>bakteremie</w:t>
      </w:r>
      <w:proofErr w:type="spellEnd"/>
      <w:r w:rsidR="0060166E">
        <w:t xml:space="preserve"> a</w:t>
      </w:r>
      <w:r w:rsidR="00D2271C">
        <w:t> </w:t>
      </w:r>
      <w:proofErr w:type="spellStart"/>
      <w:r w:rsidR="0060166E">
        <w:t>periartikulární</w:t>
      </w:r>
      <w:proofErr w:type="spellEnd"/>
      <w:r w:rsidR="0060166E">
        <w:t xml:space="preserve"> celulitida. Relativní kontraindikací je ranný pooperační stav a silné trauma kloubu.</w:t>
      </w:r>
    </w:p>
    <w:p w14:paraId="7FE636CC" w14:textId="77777777" w:rsidR="0060166E" w:rsidRDefault="0060166E"/>
    <w:p w14:paraId="3DD12C44" w14:textId="77777777" w:rsidR="00717EB1" w:rsidRDefault="00717EB1"/>
    <w:p w14:paraId="1C9C05CC" w14:textId="77777777" w:rsidR="0039233A" w:rsidRDefault="0039233A" w:rsidP="0039233A">
      <w:pPr>
        <w:spacing w:line="360" w:lineRule="auto"/>
        <w:rPr>
          <w:b/>
        </w:rPr>
      </w:pPr>
      <w:r>
        <w:rPr>
          <w:b/>
        </w:rPr>
        <w:t>6.</w:t>
      </w:r>
      <w:r>
        <w:rPr>
          <w:b/>
        </w:rPr>
        <w:tab/>
        <w:t>Zvláštní upozornění</w:t>
      </w:r>
    </w:p>
    <w:p w14:paraId="28971577" w14:textId="77777777" w:rsidR="00E73F94" w:rsidRPr="00053DC1" w:rsidRDefault="00E73F94" w:rsidP="00053DC1">
      <w:pPr>
        <w:widowControl w:val="0"/>
        <w:tabs>
          <w:tab w:val="left" w:pos="708"/>
        </w:tabs>
        <w:spacing w:after="120"/>
        <w:jc w:val="both"/>
        <w:rPr>
          <w:snapToGrid w:val="0"/>
          <w:u w:val="single"/>
        </w:rPr>
      </w:pPr>
      <w:r w:rsidRPr="00053DC1">
        <w:rPr>
          <w:szCs w:val="22"/>
          <w:u w:val="single"/>
        </w:rPr>
        <w:t>Zvláštní upozornění</w:t>
      </w:r>
      <w:r w:rsidRPr="00053DC1">
        <w:rPr>
          <w:snapToGrid w:val="0"/>
          <w:u w:val="single"/>
        </w:rPr>
        <w:t>:</w:t>
      </w:r>
    </w:p>
    <w:p w14:paraId="11EBD24A" w14:textId="335CA774" w:rsidR="0060166E" w:rsidRDefault="00FD725F">
      <w:r w:rsidRPr="00D15821">
        <w:t xml:space="preserve">Je nutno dbát na aseptickou </w:t>
      </w:r>
      <w:proofErr w:type="spellStart"/>
      <w:r w:rsidRPr="00D15821">
        <w:t>intraartikulární</w:t>
      </w:r>
      <w:proofErr w:type="spellEnd"/>
      <w:r w:rsidRPr="00D15821">
        <w:t xml:space="preserve"> aplikaci.</w:t>
      </w:r>
      <w:r w:rsidDel="00FD725F">
        <w:rPr>
          <w:snapToGrid w:val="0"/>
        </w:rPr>
        <w:t xml:space="preserve"> </w:t>
      </w:r>
    </w:p>
    <w:p w14:paraId="1EEF297E" w14:textId="77777777" w:rsidR="00717EB1" w:rsidRPr="00730492" w:rsidRDefault="00717EB1" w:rsidP="00053DC1">
      <w:pPr>
        <w:pStyle w:val="Zkladntext2"/>
        <w:spacing w:line="240" w:lineRule="auto"/>
        <w:jc w:val="both"/>
        <w:rPr>
          <w:bCs/>
          <w:u w:val="single"/>
        </w:rPr>
      </w:pPr>
      <w:r w:rsidRPr="00730492">
        <w:rPr>
          <w:bCs/>
          <w:u w:val="single"/>
        </w:rPr>
        <w:t xml:space="preserve">Zvláštní opatření pro </w:t>
      </w:r>
      <w:r>
        <w:rPr>
          <w:bCs/>
          <w:u w:val="single"/>
        </w:rPr>
        <w:t xml:space="preserve">bezpečné </w:t>
      </w:r>
      <w:r w:rsidRPr="00730492">
        <w:rPr>
          <w:bCs/>
          <w:u w:val="single"/>
        </w:rPr>
        <w:t xml:space="preserve">použití u </w:t>
      </w:r>
      <w:r>
        <w:rPr>
          <w:bCs/>
          <w:u w:val="single"/>
        </w:rPr>
        <w:t xml:space="preserve">cílových druhů </w:t>
      </w:r>
      <w:r w:rsidRPr="00730492">
        <w:rPr>
          <w:bCs/>
          <w:u w:val="single"/>
        </w:rPr>
        <w:t>zvířat</w:t>
      </w:r>
      <w:r>
        <w:rPr>
          <w:bCs/>
          <w:u w:val="single"/>
        </w:rPr>
        <w:t>:</w:t>
      </w:r>
    </w:p>
    <w:p w14:paraId="58177A9F" w14:textId="730D3DEA" w:rsidR="00717EB1" w:rsidRPr="00D15821" w:rsidRDefault="00E73F94" w:rsidP="00704491">
      <w:pPr>
        <w:pStyle w:val="Zkladntext2"/>
        <w:spacing w:line="240" w:lineRule="auto"/>
        <w:jc w:val="both"/>
      </w:pPr>
      <w:r w:rsidRPr="00E73F94">
        <w:t xml:space="preserve">Při všech </w:t>
      </w:r>
      <w:proofErr w:type="spellStart"/>
      <w:r w:rsidRPr="00E73F94">
        <w:t>intraartikulárních</w:t>
      </w:r>
      <w:proofErr w:type="spellEnd"/>
      <w:r w:rsidRPr="00E73F94">
        <w:t xml:space="preserve"> aplikacích je nutné zklidnění zvířete a důkladná desinfekce místa </w:t>
      </w:r>
      <w:r w:rsidR="00FE6B0A">
        <w:t>injekčního podání</w:t>
      </w:r>
      <w:r w:rsidRPr="00E73F94">
        <w:t xml:space="preserve">. Při neopatrné </w:t>
      </w:r>
      <w:proofErr w:type="spellStart"/>
      <w:r w:rsidRPr="00E73F94">
        <w:t>intraartikulární</w:t>
      </w:r>
      <w:proofErr w:type="spellEnd"/>
      <w:r w:rsidRPr="00E73F94">
        <w:t xml:space="preserve"> aplikaci s jehlou může dojít k iritaci kloubu </w:t>
      </w:r>
      <w:r w:rsidRPr="00E73F94">
        <w:lastRenderedPageBreak/>
        <w:t>a</w:t>
      </w:r>
      <w:r w:rsidR="00D2271C">
        <w:t> </w:t>
      </w:r>
      <w:r w:rsidRPr="00E73F94">
        <w:t>mohou vzniknout difúzní otoky, které se projeví do 24 hodin. Spontánně odeznějí do 72 hodin po aplikaci.</w:t>
      </w:r>
    </w:p>
    <w:p w14:paraId="17C81A47" w14:textId="77777777" w:rsidR="00717EB1" w:rsidRDefault="00717EB1" w:rsidP="00717EB1">
      <w:pPr>
        <w:pStyle w:val="Zkladntext2"/>
        <w:spacing w:line="240" w:lineRule="auto"/>
        <w:jc w:val="both"/>
      </w:pPr>
    </w:p>
    <w:p w14:paraId="72A4DA93" w14:textId="77777777" w:rsidR="00717EB1" w:rsidRPr="00730492" w:rsidRDefault="00717EB1" w:rsidP="00704491">
      <w:pPr>
        <w:pStyle w:val="Zkladntext2"/>
        <w:spacing w:line="240" w:lineRule="auto"/>
        <w:jc w:val="both"/>
        <w:rPr>
          <w:bCs/>
          <w:u w:val="single"/>
        </w:rPr>
      </w:pPr>
      <w:r w:rsidRPr="00730492">
        <w:rPr>
          <w:bCs/>
          <w:u w:val="single"/>
        </w:rPr>
        <w:t xml:space="preserve">Zvláštní opatření </w:t>
      </w:r>
      <w:r>
        <w:rPr>
          <w:bCs/>
          <w:u w:val="single"/>
        </w:rPr>
        <w:t>pro</w:t>
      </w:r>
      <w:r w:rsidRPr="00730492">
        <w:rPr>
          <w:bCs/>
          <w:u w:val="single"/>
        </w:rPr>
        <w:t xml:space="preserve"> osob</w:t>
      </w:r>
      <w:r>
        <w:rPr>
          <w:bCs/>
          <w:u w:val="single"/>
        </w:rPr>
        <w:t>u</w:t>
      </w:r>
      <w:r w:rsidRPr="00730492">
        <w:rPr>
          <w:bCs/>
          <w:u w:val="single"/>
        </w:rPr>
        <w:t>, kter</w:t>
      </w:r>
      <w:r>
        <w:rPr>
          <w:bCs/>
          <w:u w:val="single"/>
        </w:rPr>
        <w:t>á</w:t>
      </w:r>
      <w:r w:rsidRPr="00730492">
        <w:rPr>
          <w:bCs/>
          <w:u w:val="single"/>
        </w:rPr>
        <w:t xml:space="preserve"> podáv</w:t>
      </w:r>
      <w:r>
        <w:rPr>
          <w:bCs/>
          <w:u w:val="single"/>
        </w:rPr>
        <w:t>á</w:t>
      </w:r>
      <w:r w:rsidRPr="00282DE5">
        <w:rPr>
          <w:bCs/>
          <w:u w:val="single"/>
        </w:rPr>
        <w:t xml:space="preserve"> veterinární léčivý přípravek zvířatům</w:t>
      </w:r>
      <w:r>
        <w:rPr>
          <w:bCs/>
          <w:u w:val="single"/>
        </w:rPr>
        <w:t>:</w:t>
      </w:r>
    </w:p>
    <w:p w14:paraId="3E0CF903" w14:textId="77777777" w:rsidR="00327BB3" w:rsidRPr="00327BB3" w:rsidRDefault="00327BB3" w:rsidP="00327BB3">
      <w:pPr>
        <w:pStyle w:val="Zkladntext2"/>
        <w:spacing w:line="240" w:lineRule="auto"/>
        <w:jc w:val="both"/>
      </w:pPr>
      <w:r w:rsidRPr="00327BB3">
        <w:t>V případě náhodného sebepoškození injekčně aplikovaným přípravkem vyhledejte ihned lékařskou pomoc a ukažte příbalovou informaci nebo etiketu praktickému lékaři.</w:t>
      </w:r>
    </w:p>
    <w:p w14:paraId="39622FDD" w14:textId="12B9C6A7" w:rsidR="00717EB1" w:rsidRDefault="00327BB3" w:rsidP="00327BB3">
      <w:pPr>
        <w:pStyle w:val="Zkladntext2"/>
        <w:spacing w:line="240" w:lineRule="auto"/>
        <w:jc w:val="both"/>
      </w:pPr>
      <w:r w:rsidRPr="0078501A">
        <w:t xml:space="preserve">Lidé se známou přecitlivělostí na exogenní </w:t>
      </w:r>
      <w:proofErr w:type="spellStart"/>
      <w:r w:rsidRPr="0078501A">
        <w:t>hyaluronát</w:t>
      </w:r>
      <w:proofErr w:type="spellEnd"/>
      <w:r w:rsidRPr="0078501A">
        <w:t xml:space="preserve"> sodný nebo některou z pomocných látek by měli podávat veterinární léčivý přípravek obezřetně</w:t>
      </w:r>
      <w:r w:rsidR="00E73F94" w:rsidRPr="00E73F94">
        <w:t>.</w:t>
      </w:r>
    </w:p>
    <w:p w14:paraId="6A6150A8" w14:textId="77777777" w:rsidR="00E73F94" w:rsidRDefault="00E73F94"/>
    <w:p w14:paraId="32602329" w14:textId="77777777" w:rsidR="00717EB1" w:rsidRDefault="00717EB1" w:rsidP="00717EB1">
      <w:pPr>
        <w:spacing w:after="120"/>
        <w:jc w:val="both"/>
        <w:rPr>
          <w:u w:val="single"/>
        </w:rPr>
      </w:pPr>
      <w:r w:rsidRPr="00613E6E">
        <w:rPr>
          <w:u w:val="single"/>
        </w:rPr>
        <w:t>Březost a laktace</w:t>
      </w:r>
      <w:r w:rsidRPr="00980CAF">
        <w:rPr>
          <w:u w:val="single"/>
        </w:rPr>
        <w:t>:</w:t>
      </w:r>
    </w:p>
    <w:p w14:paraId="2D31A57A" w14:textId="77777777" w:rsidR="00717EB1" w:rsidRDefault="00717EB1" w:rsidP="00717EB1">
      <w:r w:rsidRPr="00D15821">
        <w:t xml:space="preserve">Používání </w:t>
      </w:r>
      <w:r w:rsidR="00E73F94">
        <w:t>tohoto přípravku</w:t>
      </w:r>
      <w:r w:rsidRPr="00D15821">
        <w:rPr>
          <w:i/>
        </w:rPr>
        <w:t xml:space="preserve"> </w:t>
      </w:r>
      <w:r w:rsidRPr="00D15821">
        <w:t xml:space="preserve">během březosti nebo laktace není omezeno.  </w:t>
      </w:r>
    </w:p>
    <w:p w14:paraId="64A5FB08" w14:textId="77777777" w:rsidR="00717EB1" w:rsidRDefault="00717EB1" w:rsidP="00717EB1"/>
    <w:p w14:paraId="4E9C4735" w14:textId="77777777" w:rsidR="00E73F94" w:rsidRDefault="00E73F94" w:rsidP="00717EB1"/>
    <w:p w14:paraId="5C64AC45" w14:textId="77777777" w:rsidR="00717EB1" w:rsidRDefault="00717EB1" w:rsidP="00053DC1">
      <w:pPr>
        <w:spacing w:after="120"/>
      </w:pPr>
      <w:r w:rsidRPr="00747D28">
        <w:rPr>
          <w:u w:val="single"/>
        </w:rPr>
        <w:t>Interakce s jinými léčivými přípravky a další formy interakce:</w:t>
      </w:r>
    </w:p>
    <w:p w14:paraId="1D31C21D" w14:textId="77777777" w:rsidR="00717EB1" w:rsidRPr="00D15821" w:rsidRDefault="00717EB1" w:rsidP="00053DC1">
      <w:pPr>
        <w:pStyle w:val="Zkladntext"/>
        <w:spacing w:after="0"/>
        <w:jc w:val="both"/>
        <w:rPr>
          <w:snapToGrid w:val="0"/>
        </w:rPr>
      </w:pPr>
      <w:r w:rsidRPr="00D15821">
        <w:t xml:space="preserve">Nepodávat současně s kationickými antimikrobními látkami </w:t>
      </w:r>
      <w:r w:rsidRPr="00D15821">
        <w:rPr>
          <w:snapToGrid w:val="0"/>
        </w:rPr>
        <w:t xml:space="preserve">(erytromycinem, amoxicilinem, </w:t>
      </w:r>
      <w:proofErr w:type="spellStart"/>
      <w:r w:rsidRPr="00D15821">
        <w:rPr>
          <w:snapToGrid w:val="0"/>
        </w:rPr>
        <w:t>cefchinomem</w:t>
      </w:r>
      <w:proofErr w:type="spellEnd"/>
      <w:r w:rsidRPr="00D15821">
        <w:rPr>
          <w:snapToGrid w:val="0"/>
        </w:rPr>
        <w:t xml:space="preserve">), kterými se sráží. </w:t>
      </w:r>
    </w:p>
    <w:p w14:paraId="18F08D5B" w14:textId="77777777" w:rsidR="00717EB1" w:rsidRDefault="00717EB1" w:rsidP="00717EB1">
      <w:r w:rsidRPr="00D15821">
        <w:rPr>
          <w:snapToGrid w:val="0"/>
        </w:rPr>
        <w:t>Ostatní skupiny léčiv: kortikoidy, nesteroidní protizánětlivé přípravky, vitamíny, minerály a oční přípravky jsou s </w:t>
      </w:r>
      <w:proofErr w:type="spellStart"/>
      <w:r w:rsidRPr="00D15821">
        <w:rPr>
          <w:snapToGrid w:val="0"/>
        </w:rPr>
        <w:t>hyaluronanem</w:t>
      </w:r>
      <w:proofErr w:type="spellEnd"/>
      <w:r w:rsidRPr="00D15821">
        <w:rPr>
          <w:snapToGrid w:val="0"/>
        </w:rPr>
        <w:t xml:space="preserve"> plně kompatibilní.   </w:t>
      </w:r>
    </w:p>
    <w:p w14:paraId="3FCF8584" w14:textId="2B95E0B2" w:rsidR="00717EB1" w:rsidRDefault="00717EB1" w:rsidP="00717EB1"/>
    <w:p w14:paraId="2FD9C875" w14:textId="77777777" w:rsidR="00CA7B93" w:rsidRDefault="00CA7B93" w:rsidP="00717EB1"/>
    <w:p w14:paraId="1741E588" w14:textId="77777777" w:rsidR="00E73F94" w:rsidRDefault="00E73F94" w:rsidP="00053DC1">
      <w:pPr>
        <w:spacing w:after="120"/>
        <w:rPr>
          <w:u w:val="single"/>
        </w:rPr>
      </w:pPr>
      <w:r w:rsidRPr="006F182E">
        <w:rPr>
          <w:u w:val="single"/>
        </w:rPr>
        <w:t>Předávkování</w:t>
      </w:r>
      <w:r>
        <w:rPr>
          <w:u w:val="single"/>
        </w:rPr>
        <w:t>:</w:t>
      </w:r>
    </w:p>
    <w:p w14:paraId="29B31DAD" w14:textId="3D5691BD" w:rsidR="00E73F94" w:rsidRDefault="00E73F94" w:rsidP="00717EB1">
      <w:pPr>
        <w:rPr>
          <w:u w:val="single"/>
        </w:rPr>
      </w:pPr>
      <w:r w:rsidRPr="00D15821">
        <w:t xml:space="preserve">Předávkování </w:t>
      </w:r>
      <w:r w:rsidR="00042BED">
        <w:t>tímto přípravkem</w:t>
      </w:r>
      <w:r w:rsidRPr="00D15821">
        <w:t xml:space="preserve"> není známo.</w:t>
      </w:r>
    </w:p>
    <w:p w14:paraId="0A0AE702" w14:textId="77777777" w:rsidR="00CA7B93" w:rsidRDefault="00CA7B93" w:rsidP="00717EB1">
      <w:pPr>
        <w:rPr>
          <w:szCs w:val="22"/>
          <w:u w:val="single"/>
        </w:rPr>
      </w:pPr>
    </w:p>
    <w:p w14:paraId="54A6D2BB" w14:textId="77777777" w:rsidR="00717EB1" w:rsidRDefault="00717EB1" w:rsidP="00717EB1"/>
    <w:p w14:paraId="2EC5AA63" w14:textId="77777777" w:rsidR="00CA7B93" w:rsidRDefault="00CA7B93" w:rsidP="00CA7B93">
      <w:pPr>
        <w:spacing w:after="120"/>
        <w:rPr>
          <w:u w:val="single"/>
        </w:rPr>
      </w:pPr>
      <w:r>
        <w:rPr>
          <w:u w:val="single"/>
        </w:rPr>
        <w:t>Hlavní inkompatibility:</w:t>
      </w:r>
    </w:p>
    <w:p w14:paraId="1EEF2DAC" w14:textId="5F4CE2CF" w:rsidR="00E73F94" w:rsidRDefault="00CA7B93" w:rsidP="00CA7B93">
      <w:pPr>
        <w:rPr>
          <w:bCs/>
        </w:rPr>
      </w:pPr>
      <w:r w:rsidRPr="00CA7B93">
        <w:rPr>
          <w:bCs/>
        </w:rPr>
        <w:t>Studie kompatibility nejsou k dispozici, a proto tento veterinární léčivý přípravek nesmí být mísen s žádnými dalšími veterinárními léčivými přípravky.</w:t>
      </w:r>
    </w:p>
    <w:p w14:paraId="23A60A0D" w14:textId="77777777" w:rsidR="00CA7B93" w:rsidRDefault="00CA7B93" w:rsidP="00CA7B93"/>
    <w:p w14:paraId="58B7DBE0" w14:textId="77777777" w:rsidR="00E73F94" w:rsidRDefault="00E73F94" w:rsidP="00717EB1"/>
    <w:p w14:paraId="207B09A7" w14:textId="005868EC" w:rsidR="0060166E" w:rsidRDefault="0039233A">
      <w:pPr>
        <w:spacing w:line="360" w:lineRule="auto"/>
        <w:rPr>
          <w:b/>
        </w:rPr>
      </w:pPr>
      <w:r>
        <w:rPr>
          <w:b/>
        </w:rPr>
        <w:t>7</w:t>
      </w:r>
      <w:r w:rsidR="0060166E">
        <w:rPr>
          <w:b/>
        </w:rPr>
        <w:t>.</w:t>
      </w:r>
      <w:r w:rsidR="0060166E">
        <w:rPr>
          <w:b/>
        </w:rPr>
        <w:tab/>
        <w:t>N</w:t>
      </w:r>
      <w:r w:rsidR="00717EB1">
        <w:rPr>
          <w:b/>
        </w:rPr>
        <w:t>ežádoucí účinky</w:t>
      </w:r>
    </w:p>
    <w:p w14:paraId="351ABEC6" w14:textId="77777777" w:rsidR="00D2271C" w:rsidRDefault="00D2271C" w:rsidP="00D2271C">
      <w:pPr>
        <w:jc w:val="both"/>
      </w:pPr>
      <w:bookmarkStart w:id="1" w:name="_Hlk195534400"/>
      <w:r>
        <w:t>Koně, psi:</w:t>
      </w:r>
    </w:p>
    <w:p w14:paraId="5E1584A6" w14:textId="280D4EE0" w:rsidR="00D2271C" w:rsidRDefault="00D2271C" w:rsidP="00D2271C">
      <w:pPr>
        <w:jc w:val="both"/>
      </w:pPr>
      <w:r>
        <w:t>Velmi časté (&gt; 1 zvíře / 10 ošetřených zvířat): Reakce kloubu v místě aplikace (např. otok v</w:t>
      </w:r>
      <w:r w:rsidR="001B737B">
        <w:t> </w:t>
      </w:r>
      <w:r>
        <w:t>místě injekčního podání)</w:t>
      </w:r>
    </w:p>
    <w:p w14:paraId="51C96FF0" w14:textId="77777777" w:rsidR="00D2271C" w:rsidRDefault="00D2271C">
      <w:pPr>
        <w:jc w:val="both"/>
      </w:pPr>
    </w:p>
    <w:p w14:paraId="2B2E0703" w14:textId="7A8EC285" w:rsidR="0060166E" w:rsidRDefault="0060166E">
      <w:pPr>
        <w:jc w:val="both"/>
      </w:pPr>
      <w:r>
        <w:t>Přípravek je dobře snášen.</w:t>
      </w:r>
      <w:bookmarkEnd w:id="1"/>
      <w:r>
        <w:t xml:space="preserve"> Po první lokální aplikaci BONHAREN Intra-</w:t>
      </w:r>
      <w:proofErr w:type="spellStart"/>
      <w:r>
        <w:t>articular</w:t>
      </w:r>
      <w:proofErr w:type="spellEnd"/>
      <w:r>
        <w:t xml:space="preserve"> 10 mg/ml injekční roztok (i.a., i.t., i.s., i.b.) může dojít k difusnímu otoku kloubu nebo šlachové pochvy. Tento otok spontánně odezní v průběhu 2-3 dnů. Při následných intraartikulárních aplikacích k opakovaným otokům nedochází.</w:t>
      </w:r>
    </w:p>
    <w:p w14:paraId="1FCFD289" w14:textId="77777777" w:rsidR="0060166E" w:rsidRDefault="0060166E">
      <w:pPr>
        <w:jc w:val="both"/>
      </w:pPr>
      <w:r>
        <w:t xml:space="preserve"> </w:t>
      </w:r>
    </w:p>
    <w:p w14:paraId="02CCA073" w14:textId="662E019F" w:rsidR="00717EB1" w:rsidRPr="00747D28" w:rsidRDefault="00717EB1" w:rsidP="00717EB1">
      <w:pPr>
        <w:spacing w:after="120"/>
        <w:jc w:val="both"/>
      </w:pPr>
      <w:bookmarkStart w:id="2" w:name="_Hlk191910116"/>
      <w:r w:rsidRPr="00747D28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</w:t>
      </w:r>
      <w:r w:rsidR="00DE2F46">
        <w:t>.</w:t>
      </w:r>
      <w:r w:rsidRPr="00747D28">
        <w:t xml:space="preserve"> Nežádoucí účinky můžete hlásit také držiteli rozhodnutí o registraci </w:t>
      </w:r>
      <w:r w:rsidR="00DE2F46">
        <w:t xml:space="preserve">nebo jeho lokálnímu zástupci </w:t>
      </w:r>
      <w:r w:rsidRPr="00747D28">
        <w:t>s využitím kontaktních údajů uvedených na konci této příbalové informace nebo prostřednictvím národního systému hlášení nežádoucích účinků:</w:t>
      </w:r>
    </w:p>
    <w:p w14:paraId="7F34049C" w14:textId="77777777" w:rsidR="00717EB1" w:rsidRPr="00747D28" w:rsidRDefault="00717EB1" w:rsidP="00717EB1">
      <w:bookmarkStart w:id="3" w:name="_Hlk192515144"/>
      <w:r w:rsidRPr="00747D28">
        <w:lastRenderedPageBreak/>
        <w:t>Ústav pro státní kontrolu veterinárních biopreparátů a léčiv</w:t>
      </w:r>
    </w:p>
    <w:p w14:paraId="09A1D4A8" w14:textId="6A330828" w:rsidR="00717EB1" w:rsidRPr="00747D28" w:rsidRDefault="00717EB1" w:rsidP="00717EB1">
      <w:r w:rsidRPr="00747D28">
        <w:t>Hudcova 56</w:t>
      </w:r>
      <w:r w:rsidR="00F14A15">
        <w:t xml:space="preserve"> </w:t>
      </w:r>
      <w:r w:rsidRPr="00747D28">
        <w:t>a</w:t>
      </w:r>
    </w:p>
    <w:p w14:paraId="35F0AE5C" w14:textId="6D5DBCDC" w:rsidR="00DE2F46" w:rsidRPr="00747D28" w:rsidRDefault="00717EB1" w:rsidP="00717EB1">
      <w:r w:rsidRPr="00747D28">
        <w:t>621 00 Brno</w:t>
      </w:r>
    </w:p>
    <w:p w14:paraId="4BD02B3E" w14:textId="0E0119D1" w:rsidR="00717EB1" w:rsidRPr="00747D28" w:rsidRDefault="00F14A15" w:rsidP="00717EB1">
      <w:r>
        <w:t>E-m</w:t>
      </w:r>
      <w:r w:rsidR="00717EB1" w:rsidRPr="00747D28">
        <w:t>ail: adr@uskvbl.cz</w:t>
      </w:r>
    </w:p>
    <w:p w14:paraId="47015F86" w14:textId="2DA4599D" w:rsidR="00FE6B0A" w:rsidRPr="001B737B" w:rsidRDefault="00FE6B0A" w:rsidP="00FE6B0A">
      <w:pPr>
        <w:tabs>
          <w:tab w:val="left" w:pos="-720"/>
        </w:tabs>
        <w:suppressAutoHyphens/>
        <w:rPr>
          <w:sz w:val="22"/>
          <w:szCs w:val="22"/>
        </w:rPr>
      </w:pPr>
      <w:r w:rsidRPr="001B737B">
        <w:rPr>
          <w:sz w:val="22"/>
          <w:szCs w:val="22"/>
        </w:rPr>
        <w:t>tel.: +420 720 940 693</w:t>
      </w:r>
    </w:p>
    <w:p w14:paraId="0C17D9B2" w14:textId="77777777" w:rsidR="00717EB1" w:rsidRPr="00747D28" w:rsidRDefault="00717EB1" w:rsidP="00717EB1">
      <w:r w:rsidRPr="00747D28">
        <w:t>Webové stránky:</w:t>
      </w:r>
    </w:p>
    <w:p w14:paraId="0A0731EC" w14:textId="77777777" w:rsidR="00717EB1" w:rsidRPr="00747D28" w:rsidRDefault="00717EB1" w:rsidP="00717EB1">
      <w:r w:rsidRPr="00747D28">
        <w:t>http://www.uskvbl.cz/cs/farmakovigilance</w:t>
      </w:r>
      <w:bookmarkEnd w:id="3"/>
    </w:p>
    <w:bookmarkEnd w:id="2"/>
    <w:p w14:paraId="20EC321F" w14:textId="2DABD218" w:rsidR="0060166E" w:rsidRDefault="0060166E">
      <w:pPr>
        <w:jc w:val="both"/>
      </w:pPr>
    </w:p>
    <w:p w14:paraId="163AAB21" w14:textId="77777777" w:rsidR="00421AC0" w:rsidRDefault="00421AC0"/>
    <w:p w14:paraId="4197D617" w14:textId="77777777" w:rsidR="00421AC0" w:rsidRDefault="00421AC0"/>
    <w:p w14:paraId="0F52F6C3" w14:textId="77777777" w:rsidR="0060166E" w:rsidRDefault="0060166E">
      <w:pPr>
        <w:rPr>
          <w:b/>
        </w:rPr>
      </w:pPr>
    </w:p>
    <w:p w14:paraId="7CD14ECF" w14:textId="5A63CDF8" w:rsidR="0060166E" w:rsidRDefault="0060166E">
      <w:pPr>
        <w:spacing w:line="360" w:lineRule="auto"/>
      </w:pPr>
      <w:r>
        <w:rPr>
          <w:b/>
        </w:rPr>
        <w:t>8.</w:t>
      </w:r>
      <w:r>
        <w:rPr>
          <w:b/>
        </w:rPr>
        <w:tab/>
        <w:t>D</w:t>
      </w:r>
      <w:r w:rsidR="00717EB1">
        <w:rPr>
          <w:b/>
        </w:rPr>
        <w:t>ávkování pro každý druh, cesty a způsob podání</w:t>
      </w:r>
    </w:p>
    <w:p w14:paraId="39F58510" w14:textId="2230E782" w:rsidR="0060166E" w:rsidRDefault="0060166E" w:rsidP="001B737B">
      <w:pPr>
        <w:spacing w:after="120"/>
        <w:ind w:left="1134" w:hanging="1134"/>
        <w:jc w:val="both"/>
        <w:rPr>
          <w:snapToGrid w:val="0"/>
        </w:rPr>
      </w:pPr>
      <w:r>
        <w:rPr>
          <w:snapToGrid w:val="0"/>
        </w:rPr>
        <w:t xml:space="preserve">1) </w:t>
      </w:r>
      <w:proofErr w:type="spellStart"/>
      <w:r>
        <w:rPr>
          <w:snapToGrid w:val="0"/>
          <w:u w:val="single"/>
        </w:rPr>
        <w:t>Intraartikulární</w:t>
      </w:r>
      <w:proofErr w:type="spellEnd"/>
      <w:r>
        <w:rPr>
          <w:snapToGrid w:val="0"/>
          <w:u w:val="single"/>
        </w:rPr>
        <w:t xml:space="preserve"> </w:t>
      </w:r>
      <w:r w:rsidR="00E73F94">
        <w:rPr>
          <w:snapToGrid w:val="0"/>
          <w:u w:val="single"/>
        </w:rPr>
        <w:t>podání</w:t>
      </w:r>
      <w:r w:rsidR="00E73F94">
        <w:rPr>
          <w:snapToGrid w:val="0"/>
        </w:rPr>
        <w:t xml:space="preserve"> </w:t>
      </w:r>
      <w:r>
        <w:rPr>
          <w:snapToGrid w:val="0"/>
        </w:rPr>
        <w:t>(přímo do kloubu)</w:t>
      </w:r>
    </w:p>
    <w:p w14:paraId="1AFE8318" w14:textId="59EF2DEB" w:rsidR="00454AA5" w:rsidRDefault="00454AA5">
      <w:pPr>
        <w:ind w:left="1260" w:hanging="1260"/>
        <w:jc w:val="both"/>
        <w:rPr>
          <w:i/>
          <w:iCs/>
          <w:snapToGrid w:val="0"/>
          <w:u w:val="single"/>
        </w:rPr>
      </w:pPr>
      <w:r w:rsidRPr="00704491">
        <w:rPr>
          <w:i/>
          <w:iCs/>
          <w:snapToGrid w:val="0"/>
          <w:u w:val="single"/>
        </w:rPr>
        <w:t>K</w:t>
      </w:r>
      <w:r w:rsidR="008A780F">
        <w:rPr>
          <w:i/>
          <w:iCs/>
          <w:snapToGrid w:val="0"/>
          <w:u w:val="single"/>
        </w:rPr>
        <w:t>oně</w:t>
      </w:r>
      <w:r w:rsidRPr="00704491">
        <w:rPr>
          <w:i/>
          <w:iCs/>
          <w:snapToGrid w:val="0"/>
          <w:u w:val="single"/>
        </w:rPr>
        <w:t>:</w:t>
      </w:r>
    </w:p>
    <w:p w14:paraId="30F7DFC0" w14:textId="492E265D" w:rsidR="0060166E" w:rsidRDefault="0060166E">
      <w:pPr>
        <w:ind w:left="1260" w:hanging="1260"/>
        <w:jc w:val="both"/>
        <w:rPr>
          <w:snapToGrid w:val="0"/>
        </w:rPr>
      </w:pPr>
      <w:r>
        <w:rPr>
          <w:snapToGrid w:val="0"/>
        </w:rPr>
        <w:t xml:space="preserve">Dávkování:  2-3 ml/kloub, podle velikosti kloubu, větší dávky mohou vyvolat větší difúzní otok až bolestivost v místě </w:t>
      </w:r>
      <w:r w:rsidR="00FE6B0A">
        <w:rPr>
          <w:snapToGrid w:val="0"/>
        </w:rPr>
        <w:t>podání</w:t>
      </w:r>
    </w:p>
    <w:p w14:paraId="304F8CC9" w14:textId="77777777" w:rsidR="0060166E" w:rsidRDefault="0060166E">
      <w:pPr>
        <w:jc w:val="both"/>
        <w:rPr>
          <w:snapToGrid w:val="0"/>
        </w:rPr>
      </w:pPr>
      <w:r>
        <w:rPr>
          <w:snapToGrid w:val="0"/>
        </w:rPr>
        <w:t>Počet dávek:  3-7, optimum 5</w:t>
      </w:r>
    </w:p>
    <w:p w14:paraId="76D8D228" w14:textId="77777777" w:rsidR="0060166E" w:rsidRDefault="0060166E">
      <w:pPr>
        <w:jc w:val="both"/>
        <w:rPr>
          <w:snapToGrid w:val="0"/>
        </w:rPr>
      </w:pPr>
      <w:r>
        <w:rPr>
          <w:snapToGrid w:val="0"/>
        </w:rPr>
        <w:t xml:space="preserve">Interval mezi dávkami:  7 (5-9) dnů </w:t>
      </w:r>
    </w:p>
    <w:p w14:paraId="7703523F" w14:textId="77777777" w:rsidR="00454AA5" w:rsidRDefault="00454AA5" w:rsidP="00454AA5">
      <w:pPr>
        <w:jc w:val="both"/>
        <w:rPr>
          <w:snapToGrid w:val="0"/>
        </w:rPr>
      </w:pPr>
    </w:p>
    <w:p w14:paraId="557735B1" w14:textId="519A95E3" w:rsidR="00454AA5" w:rsidRPr="00704491" w:rsidRDefault="00454AA5" w:rsidP="00454AA5">
      <w:pPr>
        <w:jc w:val="both"/>
        <w:rPr>
          <w:i/>
          <w:iCs/>
          <w:snapToGrid w:val="0"/>
          <w:u w:val="single"/>
        </w:rPr>
      </w:pPr>
      <w:r w:rsidRPr="00704491">
        <w:rPr>
          <w:i/>
          <w:iCs/>
          <w:snapToGrid w:val="0"/>
          <w:u w:val="single"/>
        </w:rPr>
        <w:t>P</w:t>
      </w:r>
      <w:r w:rsidR="008A780F">
        <w:rPr>
          <w:i/>
          <w:iCs/>
          <w:snapToGrid w:val="0"/>
          <w:u w:val="single"/>
        </w:rPr>
        <w:t>si</w:t>
      </w:r>
      <w:r w:rsidRPr="00704491">
        <w:rPr>
          <w:i/>
          <w:iCs/>
          <w:snapToGrid w:val="0"/>
          <w:u w:val="single"/>
        </w:rPr>
        <w:t>, kočk</w:t>
      </w:r>
      <w:r w:rsidR="008A780F">
        <w:rPr>
          <w:i/>
          <w:iCs/>
          <w:snapToGrid w:val="0"/>
          <w:u w:val="single"/>
        </w:rPr>
        <w:t>y</w:t>
      </w:r>
    </w:p>
    <w:p w14:paraId="5953BC6A" w14:textId="77777777" w:rsidR="00454AA5" w:rsidRDefault="00454AA5" w:rsidP="00454AA5">
      <w:pPr>
        <w:jc w:val="both"/>
        <w:rPr>
          <w:snapToGrid w:val="0"/>
        </w:rPr>
      </w:pPr>
      <w:r>
        <w:rPr>
          <w:snapToGrid w:val="0"/>
        </w:rPr>
        <w:t>Dávka: úměrně nižší k velikosti kloubu a celkové hmotnosti, tj. cca 1/3 až 1/2 dávky.</w:t>
      </w:r>
    </w:p>
    <w:p w14:paraId="7C7004AC" w14:textId="77777777" w:rsidR="0060166E" w:rsidRDefault="00454AA5" w:rsidP="00454AA5">
      <w:pPr>
        <w:jc w:val="both"/>
        <w:rPr>
          <w:snapToGrid w:val="0"/>
        </w:rPr>
      </w:pPr>
      <w:r>
        <w:rPr>
          <w:snapToGrid w:val="0"/>
        </w:rPr>
        <w:t>Při zvýšeném synoviálním výpotku je nutno jej před aplikací odsát.</w:t>
      </w:r>
    </w:p>
    <w:p w14:paraId="70703657" w14:textId="77777777" w:rsidR="00454AA5" w:rsidRDefault="00454AA5" w:rsidP="00454AA5">
      <w:pPr>
        <w:jc w:val="both"/>
        <w:rPr>
          <w:snapToGrid w:val="0"/>
        </w:rPr>
      </w:pPr>
    </w:p>
    <w:p w14:paraId="1BE18B30" w14:textId="77777777" w:rsidR="00454AA5" w:rsidRDefault="00454AA5" w:rsidP="00454AA5">
      <w:pPr>
        <w:jc w:val="both"/>
        <w:rPr>
          <w:snapToGrid w:val="0"/>
        </w:rPr>
      </w:pPr>
    </w:p>
    <w:p w14:paraId="36A57359" w14:textId="6FC41BD5" w:rsidR="0060166E" w:rsidRDefault="0060166E">
      <w:pPr>
        <w:jc w:val="both"/>
        <w:rPr>
          <w:snapToGrid w:val="0"/>
        </w:rPr>
      </w:pPr>
      <w:r>
        <w:rPr>
          <w:snapToGrid w:val="0"/>
        </w:rPr>
        <w:t xml:space="preserve">2) </w:t>
      </w:r>
      <w:proofErr w:type="spellStart"/>
      <w:r w:rsidR="00454AA5">
        <w:rPr>
          <w:snapToGrid w:val="0"/>
          <w:u w:val="single"/>
        </w:rPr>
        <w:t>Intraburzální</w:t>
      </w:r>
      <w:proofErr w:type="spellEnd"/>
      <w:r w:rsidR="00454AA5">
        <w:rPr>
          <w:snapToGrid w:val="0"/>
          <w:u w:val="single"/>
        </w:rPr>
        <w:t xml:space="preserve"> </w:t>
      </w:r>
      <w:r w:rsidR="00E73F94">
        <w:rPr>
          <w:snapToGrid w:val="0"/>
          <w:u w:val="single"/>
        </w:rPr>
        <w:t>podání</w:t>
      </w:r>
      <w:r w:rsidR="00E73F94">
        <w:rPr>
          <w:snapToGrid w:val="0"/>
        </w:rPr>
        <w:t xml:space="preserve"> </w:t>
      </w:r>
      <w:r>
        <w:rPr>
          <w:snapToGrid w:val="0"/>
        </w:rPr>
        <w:t xml:space="preserve">(do synoviálního </w:t>
      </w:r>
      <w:r w:rsidR="00FE6B0A">
        <w:rPr>
          <w:snapToGrid w:val="0"/>
        </w:rPr>
        <w:t>váčku</w:t>
      </w:r>
      <w:r>
        <w:rPr>
          <w:snapToGrid w:val="0"/>
        </w:rPr>
        <w:t>, šlachové pochvy)</w:t>
      </w:r>
    </w:p>
    <w:p w14:paraId="0446FF0B" w14:textId="497C1E55" w:rsidR="00454AA5" w:rsidRDefault="00454AA5">
      <w:pPr>
        <w:ind w:left="1260" w:hanging="1260"/>
        <w:jc w:val="both"/>
        <w:rPr>
          <w:i/>
          <w:iCs/>
          <w:snapToGrid w:val="0"/>
          <w:u w:val="single"/>
        </w:rPr>
      </w:pPr>
      <w:r w:rsidRPr="00704491">
        <w:rPr>
          <w:i/>
          <w:iCs/>
          <w:snapToGrid w:val="0"/>
          <w:u w:val="single"/>
        </w:rPr>
        <w:t>K</w:t>
      </w:r>
      <w:r w:rsidR="008A780F">
        <w:rPr>
          <w:i/>
          <w:iCs/>
          <w:snapToGrid w:val="0"/>
          <w:u w:val="single"/>
        </w:rPr>
        <w:t>oně</w:t>
      </w:r>
      <w:r w:rsidRPr="00704491">
        <w:rPr>
          <w:i/>
          <w:iCs/>
          <w:snapToGrid w:val="0"/>
          <w:u w:val="single"/>
        </w:rPr>
        <w:t>:</w:t>
      </w:r>
    </w:p>
    <w:p w14:paraId="32B2F714" w14:textId="516CA4ED" w:rsidR="0060166E" w:rsidRDefault="0060166E">
      <w:pPr>
        <w:ind w:left="1260" w:hanging="1260"/>
        <w:jc w:val="both"/>
        <w:rPr>
          <w:snapToGrid w:val="0"/>
        </w:rPr>
      </w:pPr>
      <w:r>
        <w:rPr>
          <w:snapToGrid w:val="0"/>
        </w:rPr>
        <w:t>Dávkování: 1-2 ml/1 vpich</w:t>
      </w:r>
    </w:p>
    <w:p w14:paraId="16BD88F1" w14:textId="7950141B" w:rsidR="0060166E" w:rsidRDefault="0060166E">
      <w:pPr>
        <w:jc w:val="both"/>
        <w:rPr>
          <w:snapToGrid w:val="0"/>
        </w:rPr>
      </w:pPr>
      <w:r>
        <w:rPr>
          <w:snapToGrid w:val="0"/>
        </w:rPr>
        <w:t>Počet dávek: 1</w:t>
      </w:r>
      <w:r w:rsidR="00C44347">
        <w:rPr>
          <w:snapToGrid w:val="0"/>
        </w:rPr>
        <w:t xml:space="preserve"> (</w:t>
      </w:r>
      <w:r w:rsidR="00454AA5">
        <w:rPr>
          <w:snapToGrid w:val="0"/>
        </w:rPr>
        <w:t>výjimečně</w:t>
      </w:r>
      <w:r>
        <w:rPr>
          <w:snapToGrid w:val="0"/>
        </w:rPr>
        <w:t xml:space="preserve"> 2-3</w:t>
      </w:r>
      <w:r w:rsidR="00C44347">
        <w:rPr>
          <w:snapToGrid w:val="0"/>
        </w:rPr>
        <w:t>)</w:t>
      </w:r>
    </w:p>
    <w:p w14:paraId="003B54C1" w14:textId="102043BA" w:rsidR="0060166E" w:rsidRDefault="0060166E">
      <w:pPr>
        <w:jc w:val="both"/>
        <w:rPr>
          <w:snapToGrid w:val="0"/>
        </w:rPr>
      </w:pPr>
      <w:r>
        <w:rPr>
          <w:snapToGrid w:val="0"/>
        </w:rPr>
        <w:t xml:space="preserve">Interval mezi dávkami: 14 (7-21) dnů </w:t>
      </w:r>
    </w:p>
    <w:p w14:paraId="7F2F235C" w14:textId="77777777" w:rsidR="0060166E" w:rsidRDefault="0060166E">
      <w:pPr>
        <w:jc w:val="both"/>
        <w:rPr>
          <w:snapToGrid w:val="0"/>
        </w:rPr>
      </w:pPr>
    </w:p>
    <w:p w14:paraId="03331BF8" w14:textId="77777777" w:rsidR="0060166E" w:rsidRDefault="0060166E">
      <w:pPr>
        <w:jc w:val="both"/>
        <w:rPr>
          <w:snapToGrid w:val="0"/>
        </w:rPr>
      </w:pPr>
    </w:p>
    <w:p w14:paraId="5AC4BACE" w14:textId="77777777" w:rsidR="00E73F94" w:rsidRDefault="0060166E">
      <w:pPr>
        <w:jc w:val="both"/>
        <w:rPr>
          <w:snapToGrid w:val="0"/>
        </w:rPr>
      </w:pPr>
      <w:r>
        <w:rPr>
          <w:snapToGrid w:val="0"/>
        </w:rPr>
        <w:t xml:space="preserve">3) </w:t>
      </w:r>
      <w:r w:rsidR="00E73F94">
        <w:rPr>
          <w:snapToGrid w:val="0"/>
        </w:rPr>
        <w:t xml:space="preserve">Oční podání </w:t>
      </w:r>
    </w:p>
    <w:p w14:paraId="483F5624" w14:textId="4369AB6B" w:rsidR="00E73F94" w:rsidRDefault="00E73F94">
      <w:pPr>
        <w:jc w:val="both"/>
        <w:rPr>
          <w:i/>
          <w:iCs/>
          <w:snapToGrid w:val="0"/>
        </w:rPr>
      </w:pPr>
      <w:r w:rsidRPr="00454AA5">
        <w:rPr>
          <w:i/>
          <w:iCs/>
          <w:snapToGrid w:val="0"/>
        </w:rPr>
        <w:t>K</w:t>
      </w:r>
      <w:r w:rsidR="008A780F">
        <w:rPr>
          <w:i/>
          <w:iCs/>
          <w:snapToGrid w:val="0"/>
        </w:rPr>
        <w:t>oně</w:t>
      </w:r>
      <w:r w:rsidRPr="00454AA5">
        <w:rPr>
          <w:i/>
          <w:iCs/>
          <w:snapToGrid w:val="0"/>
        </w:rPr>
        <w:t>, p</w:t>
      </w:r>
      <w:r w:rsidR="008A780F">
        <w:rPr>
          <w:i/>
          <w:iCs/>
          <w:snapToGrid w:val="0"/>
        </w:rPr>
        <w:t>si</w:t>
      </w:r>
      <w:r w:rsidRPr="00454AA5">
        <w:rPr>
          <w:i/>
          <w:iCs/>
          <w:snapToGrid w:val="0"/>
        </w:rPr>
        <w:t>, kočk</w:t>
      </w:r>
      <w:r w:rsidR="008A780F">
        <w:rPr>
          <w:i/>
          <w:iCs/>
          <w:snapToGrid w:val="0"/>
        </w:rPr>
        <w:t>y</w:t>
      </w:r>
      <w:r w:rsidRPr="00454AA5">
        <w:rPr>
          <w:i/>
          <w:iCs/>
          <w:snapToGrid w:val="0"/>
        </w:rPr>
        <w:t>:</w:t>
      </w:r>
    </w:p>
    <w:p w14:paraId="4D42A946" w14:textId="52EDDC01" w:rsidR="00454AA5" w:rsidRPr="00E73F94" w:rsidRDefault="0060166E">
      <w:pPr>
        <w:jc w:val="both"/>
        <w:rPr>
          <w:i/>
          <w:iCs/>
          <w:snapToGrid w:val="0"/>
        </w:rPr>
      </w:pPr>
      <w:r w:rsidRPr="001B737B">
        <w:rPr>
          <w:snapToGrid w:val="0"/>
        </w:rPr>
        <w:t>Lokálně do spojivkového vaku, na povrch oka</w:t>
      </w:r>
      <w:r w:rsidR="00E73F94" w:rsidRPr="001B737B">
        <w:rPr>
          <w:snapToGrid w:val="0"/>
        </w:rPr>
        <w:t>.</w:t>
      </w:r>
    </w:p>
    <w:p w14:paraId="1164C470" w14:textId="77777777" w:rsidR="0060166E" w:rsidRDefault="0060166E">
      <w:pPr>
        <w:jc w:val="both"/>
        <w:rPr>
          <w:snapToGrid w:val="0"/>
        </w:rPr>
      </w:pPr>
      <w:r>
        <w:rPr>
          <w:snapToGrid w:val="0"/>
        </w:rPr>
        <w:t>Dávkování: 1-2 kapky do oka každé 2-12 hod</w:t>
      </w:r>
      <w:r w:rsidR="00E73F94">
        <w:rPr>
          <w:snapToGrid w:val="0"/>
        </w:rPr>
        <w:t>.</w:t>
      </w:r>
    </w:p>
    <w:p w14:paraId="61D0C6A4" w14:textId="77777777" w:rsidR="0060166E" w:rsidRDefault="0060166E">
      <w:pPr>
        <w:jc w:val="both"/>
        <w:rPr>
          <w:snapToGrid w:val="0"/>
        </w:rPr>
      </w:pPr>
      <w:r>
        <w:rPr>
          <w:snapToGrid w:val="0"/>
        </w:rPr>
        <w:t xml:space="preserve">Doba podávání: 5-60 dnů, eventuelně permanentně (akutní zánět 5-7 dnů, chronický zánět: do zlepšení/vyléčení). </w:t>
      </w:r>
    </w:p>
    <w:p w14:paraId="21616622" w14:textId="77777777" w:rsidR="0060166E" w:rsidRDefault="0060166E"/>
    <w:p w14:paraId="3097F70D" w14:textId="77777777" w:rsidR="0060166E" w:rsidRDefault="0060166E">
      <w:pPr>
        <w:rPr>
          <w:b/>
        </w:rPr>
      </w:pPr>
    </w:p>
    <w:p w14:paraId="50ED7940" w14:textId="77777777" w:rsidR="0060166E" w:rsidRDefault="0060166E">
      <w:pPr>
        <w:rPr>
          <w:b/>
        </w:rPr>
      </w:pPr>
    </w:p>
    <w:p w14:paraId="415169B0" w14:textId="3A17EBC3" w:rsidR="0060166E" w:rsidRDefault="0060166E">
      <w:pPr>
        <w:spacing w:line="360" w:lineRule="auto"/>
      </w:pPr>
      <w:r>
        <w:rPr>
          <w:b/>
        </w:rPr>
        <w:t>9.</w:t>
      </w:r>
      <w:r>
        <w:rPr>
          <w:b/>
        </w:rPr>
        <w:tab/>
      </w:r>
      <w:r w:rsidR="00717EB1">
        <w:rPr>
          <w:b/>
        </w:rPr>
        <w:t>Informace o správném podávání</w:t>
      </w:r>
    </w:p>
    <w:p w14:paraId="02798AB0" w14:textId="38B3A8B1" w:rsidR="0060166E" w:rsidRDefault="00E73F94" w:rsidP="001B737B">
      <w:pPr>
        <w:pStyle w:val="Zkladntext2"/>
        <w:spacing w:after="0" w:line="240" w:lineRule="auto"/>
        <w:jc w:val="both"/>
        <w:rPr>
          <w:snapToGrid w:val="0"/>
        </w:rPr>
      </w:pPr>
      <w:r>
        <w:t xml:space="preserve">Tento </w:t>
      </w:r>
      <w:r w:rsidR="00FE6B0A">
        <w:t xml:space="preserve">veterinární léčivý </w:t>
      </w:r>
      <w:r>
        <w:t xml:space="preserve">přípravek </w:t>
      </w:r>
      <w:r w:rsidR="0060166E">
        <w:rPr>
          <w:snapToGrid w:val="0"/>
        </w:rPr>
        <w:t>se doporučuje při těžkých postiženích oka míchat buď s antibiotiky nebo kortikoidy anebo s nimi podávat střídavě.</w:t>
      </w:r>
    </w:p>
    <w:p w14:paraId="0BCA3BDC" w14:textId="77777777" w:rsidR="0060166E" w:rsidRDefault="0060166E">
      <w:pPr>
        <w:widowControl w:val="0"/>
        <w:tabs>
          <w:tab w:val="left" w:pos="708"/>
        </w:tabs>
        <w:rPr>
          <w:snapToGrid w:val="0"/>
        </w:rPr>
      </w:pPr>
    </w:p>
    <w:p w14:paraId="68672A0F" w14:textId="77777777" w:rsidR="0060166E" w:rsidRDefault="0060166E"/>
    <w:p w14:paraId="284E2465" w14:textId="07C71B59" w:rsidR="00717EB1" w:rsidRDefault="0060166E" w:rsidP="00704491">
      <w:pPr>
        <w:spacing w:after="120"/>
      </w:pPr>
      <w:r>
        <w:rPr>
          <w:b/>
        </w:rPr>
        <w:t>10.</w:t>
      </w:r>
      <w:r>
        <w:rPr>
          <w:b/>
        </w:rPr>
        <w:tab/>
        <w:t>O</w:t>
      </w:r>
      <w:r w:rsidR="00717EB1">
        <w:rPr>
          <w:b/>
        </w:rPr>
        <w:t>chranné lhůty</w:t>
      </w:r>
    </w:p>
    <w:p w14:paraId="443BC9CF" w14:textId="77777777" w:rsidR="00CA6D07" w:rsidRDefault="00CA6D07" w:rsidP="00CA6D07">
      <w:pPr>
        <w:jc w:val="both"/>
      </w:pPr>
      <w:r>
        <w:t xml:space="preserve">Koně: </w:t>
      </w:r>
    </w:p>
    <w:p w14:paraId="44B9DC9F" w14:textId="77777777" w:rsidR="00CA6D07" w:rsidRDefault="00CA6D07" w:rsidP="00CA6D07">
      <w:pPr>
        <w:jc w:val="both"/>
      </w:pPr>
      <w:r>
        <w:t xml:space="preserve">Maso: </w:t>
      </w:r>
      <w:r w:rsidRPr="00D15821">
        <w:t>Bez ochranných lhůt.</w:t>
      </w:r>
    </w:p>
    <w:p w14:paraId="2951921C" w14:textId="77777777" w:rsidR="00CA6D07" w:rsidRPr="00D15821" w:rsidRDefault="00CA6D07" w:rsidP="00CA6D07">
      <w:pPr>
        <w:jc w:val="both"/>
      </w:pPr>
      <w:r>
        <w:lastRenderedPageBreak/>
        <w:t xml:space="preserve">Mléko: </w:t>
      </w:r>
      <w:r w:rsidRPr="00D15821">
        <w:t>Bez ochranných lhůt.</w:t>
      </w:r>
    </w:p>
    <w:p w14:paraId="4BEFF69B" w14:textId="77777777" w:rsidR="0060166E" w:rsidRDefault="0060166E">
      <w:pPr>
        <w:rPr>
          <w:iCs/>
        </w:rPr>
      </w:pPr>
    </w:p>
    <w:p w14:paraId="4FD47A2A" w14:textId="77777777" w:rsidR="0060166E" w:rsidRDefault="0060166E">
      <w:pPr>
        <w:rPr>
          <w:iCs/>
        </w:rPr>
      </w:pPr>
    </w:p>
    <w:p w14:paraId="255F7FA4" w14:textId="77777777" w:rsidR="0060166E" w:rsidRDefault="0060166E">
      <w:pPr>
        <w:spacing w:line="360" w:lineRule="auto"/>
      </w:pPr>
      <w:r>
        <w:rPr>
          <w:b/>
        </w:rPr>
        <w:t>11.</w:t>
      </w:r>
      <w:r>
        <w:rPr>
          <w:b/>
        </w:rPr>
        <w:tab/>
        <w:t>Z</w:t>
      </w:r>
      <w:r w:rsidR="00717EB1">
        <w:rPr>
          <w:b/>
        </w:rPr>
        <w:t>vláštní opatření pro uchovávání</w:t>
      </w:r>
    </w:p>
    <w:p w14:paraId="5BB07D02" w14:textId="113D033C" w:rsidR="0060166E" w:rsidRDefault="00717EB1">
      <w:pPr>
        <w:jc w:val="both"/>
      </w:pPr>
      <w:r>
        <w:t xml:space="preserve">Uchovávejte </w:t>
      </w:r>
      <w:r w:rsidR="0060166E">
        <w:t xml:space="preserve">mimo </w:t>
      </w:r>
      <w:r>
        <w:t xml:space="preserve">dohled a </w:t>
      </w:r>
      <w:r w:rsidR="0060166E">
        <w:t>dosah dětí.</w:t>
      </w:r>
    </w:p>
    <w:p w14:paraId="1CB8AC0A" w14:textId="7C76107B" w:rsidR="0060166E" w:rsidRDefault="0060166E">
      <w:pPr>
        <w:ind w:left="567" w:hanging="567"/>
        <w:jc w:val="both"/>
      </w:pPr>
      <w:r>
        <w:t>Uchovávejte v chladničce (2</w:t>
      </w:r>
      <w:r w:rsidR="00B318B6">
        <w:t xml:space="preserve"> </w:t>
      </w:r>
      <w:r>
        <w:t xml:space="preserve">°C – 8 </w:t>
      </w:r>
      <w:r>
        <w:sym w:font="Symbol" w:char="F0B0"/>
      </w:r>
      <w:r>
        <w:t xml:space="preserve">C). </w:t>
      </w:r>
    </w:p>
    <w:p w14:paraId="73ACCE33" w14:textId="77777777" w:rsidR="0060166E" w:rsidRDefault="0060166E">
      <w:pPr>
        <w:ind w:left="567" w:hanging="567"/>
        <w:jc w:val="both"/>
      </w:pPr>
      <w:r>
        <w:t>Chraňte před světlem.</w:t>
      </w:r>
    </w:p>
    <w:p w14:paraId="476F812C" w14:textId="77777777" w:rsidR="0060166E" w:rsidRDefault="0060166E">
      <w:pPr>
        <w:ind w:left="567" w:hanging="567"/>
        <w:jc w:val="both"/>
      </w:pPr>
      <w:r>
        <w:t>Chraňte před mrazem.</w:t>
      </w:r>
    </w:p>
    <w:p w14:paraId="1BBB5E90" w14:textId="77777777" w:rsidR="0060166E" w:rsidRDefault="0060166E">
      <w:pPr>
        <w:widowControl w:val="0"/>
        <w:tabs>
          <w:tab w:val="left" w:pos="708"/>
        </w:tabs>
        <w:jc w:val="both"/>
      </w:pPr>
    </w:p>
    <w:p w14:paraId="0B033893" w14:textId="3F3DC295" w:rsidR="00CA2AB4" w:rsidRDefault="00CA2AB4">
      <w:r w:rsidRPr="00B96960">
        <w:t>Nepoužívejte tento veterinární léčivý přípravek po uplynutí doby použitelnosti uvedené na etiketě</w:t>
      </w:r>
      <w:r>
        <w:t xml:space="preserve"> po Exp. </w:t>
      </w:r>
      <w:r w:rsidRPr="00B96960">
        <w:t>Doba použitelnosti končí posledním dnem v uvedeném měsíci.</w:t>
      </w:r>
    </w:p>
    <w:p w14:paraId="6D7D8571" w14:textId="037528BB" w:rsidR="00CA2AB4" w:rsidRDefault="00CA2AB4"/>
    <w:p w14:paraId="37493D22" w14:textId="428C111A" w:rsidR="00CA2AB4" w:rsidRDefault="00CA2AB4" w:rsidP="001B737B">
      <w:pPr>
        <w:widowControl w:val="0"/>
        <w:tabs>
          <w:tab w:val="left" w:pos="708"/>
        </w:tabs>
        <w:jc w:val="both"/>
      </w:pPr>
      <w:r w:rsidRPr="00747D28">
        <w:t>Doba použitelnosti p</w:t>
      </w:r>
      <w:r>
        <w:t>o prvním otevření vnitřního obalu: spotřebujte ihned.</w:t>
      </w:r>
    </w:p>
    <w:p w14:paraId="46ED6861" w14:textId="77777777" w:rsidR="0060166E" w:rsidRDefault="0060166E"/>
    <w:p w14:paraId="511495B1" w14:textId="7C022CD6" w:rsidR="00717EB1" w:rsidRDefault="0060166E" w:rsidP="00717EB1">
      <w:pPr>
        <w:spacing w:after="120"/>
      </w:pPr>
      <w:r>
        <w:rPr>
          <w:b/>
        </w:rPr>
        <w:t>1</w:t>
      </w:r>
      <w:r w:rsidR="00717EB1">
        <w:rPr>
          <w:b/>
        </w:rPr>
        <w:t>2</w:t>
      </w:r>
      <w:r>
        <w:rPr>
          <w:b/>
        </w:rPr>
        <w:t>.</w:t>
      </w:r>
      <w:r>
        <w:rPr>
          <w:b/>
        </w:rPr>
        <w:tab/>
        <w:t>Z</w:t>
      </w:r>
      <w:r w:rsidR="00717EB1">
        <w:rPr>
          <w:b/>
        </w:rPr>
        <w:t>vláštní opatření pro likvidaci</w:t>
      </w:r>
    </w:p>
    <w:p w14:paraId="1DBF9898" w14:textId="7A7F010E" w:rsidR="0060166E" w:rsidRDefault="00717EB1" w:rsidP="00717EB1">
      <w:pPr>
        <w:spacing w:after="120"/>
      </w:pPr>
      <w:r w:rsidRPr="00747D28">
        <w:t>Léčivé přípravky se nesmí likvidovat prostřednictvím odpadní vody</w:t>
      </w:r>
      <w:r w:rsidR="00E73F94">
        <w:t xml:space="preserve"> či domovního odpadu</w:t>
      </w:r>
      <w:r w:rsidRPr="00747D28">
        <w:t>.</w:t>
      </w:r>
      <w:r>
        <w:t xml:space="preserve"> </w:t>
      </w:r>
      <w:r w:rsidR="0060166E">
        <w:t xml:space="preserve">Všechen nepoužitý veterinární léčivý přípravek nebo odpad, který pochází z tohoto přípravku, </w:t>
      </w:r>
      <w:r w:rsidRPr="00717EB1">
        <w:t>likvidujte odevzdáním v souladu s místními požadavky a platnými národními systémy sběru. Tato opatření napomáhají chránit životní prostředí.</w:t>
      </w:r>
    </w:p>
    <w:p w14:paraId="65DA9384" w14:textId="545D6AE8" w:rsidR="0013745E" w:rsidRDefault="0013745E" w:rsidP="00717EB1">
      <w:pPr>
        <w:spacing w:after="120"/>
      </w:pPr>
      <w:r w:rsidRPr="000E1BFB">
        <w:t xml:space="preserve">O možnostech </w:t>
      </w:r>
      <w:r>
        <w:t>likvidace nepotřebných léčivých přípravků se poraďte s vaším veterinárním lékařem nebo lékárníkem.</w:t>
      </w:r>
    </w:p>
    <w:p w14:paraId="5A4DCB45" w14:textId="77777777" w:rsidR="00E73F94" w:rsidRDefault="00E73F94" w:rsidP="00717EB1">
      <w:pPr>
        <w:spacing w:after="120"/>
      </w:pPr>
    </w:p>
    <w:p w14:paraId="757BFDEA" w14:textId="77777777" w:rsidR="00717EB1" w:rsidRPr="00747D28" w:rsidRDefault="00717EB1" w:rsidP="00717EB1">
      <w:pPr>
        <w:spacing w:after="120"/>
        <w:rPr>
          <w:b/>
        </w:rPr>
      </w:pPr>
      <w:r w:rsidRPr="00747D28">
        <w:rPr>
          <w:b/>
        </w:rPr>
        <w:t>13. Klasifikace veterinárních léčivých přípravků</w:t>
      </w:r>
    </w:p>
    <w:p w14:paraId="30C8F0C5" w14:textId="77777777" w:rsidR="00717EB1" w:rsidRDefault="00717EB1" w:rsidP="00717EB1">
      <w:r w:rsidRPr="00747D28">
        <w:t>Veterinární léčivý přípravek je vydáván pouze na předpis.</w:t>
      </w:r>
    </w:p>
    <w:p w14:paraId="27C98BA9" w14:textId="77777777" w:rsidR="00717EB1" w:rsidRDefault="00717EB1" w:rsidP="00717EB1"/>
    <w:p w14:paraId="79FFA0EB" w14:textId="77777777" w:rsidR="00717EB1" w:rsidRDefault="00717EB1" w:rsidP="00717EB1">
      <w:pPr>
        <w:rPr>
          <w:b/>
        </w:rPr>
      </w:pPr>
    </w:p>
    <w:p w14:paraId="5ECD3EFF" w14:textId="77777777" w:rsidR="00717EB1" w:rsidRPr="00747D28" w:rsidRDefault="00717EB1" w:rsidP="00717EB1">
      <w:pPr>
        <w:spacing w:after="120"/>
        <w:rPr>
          <w:b/>
        </w:rPr>
      </w:pPr>
      <w:r w:rsidRPr="00747D28">
        <w:rPr>
          <w:b/>
        </w:rPr>
        <w:t>14. Registrační čísla a velikosti balení</w:t>
      </w:r>
    </w:p>
    <w:p w14:paraId="02F69E92" w14:textId="77777777" w:rsidR="00717EB1" w:rsidRDefault="00717EB1" w:rsidP="00717EB1">
      <w:r w:rsidRPr="00747D28">
        <w:t xml:space="preserve">Registrační číslo: </w:t>
      </w:r>
      <w:bookmarkStart w:id="4" w:name="_Hlk198644766"/>
      <w:r w:rsidRPr="00747D28">
        <w:t>96/04</w:t>
      </w:r>
      <w:r w:rsidR="00704491">
        <w:t>6</w:t>
      </w:r>
      <w:r w:rsidRPr="00747D28">
        <w:t>/00-C</w:t>
      </w:r>
      <w:bookmarkEnd w:id="4"/>
    </w:p>
    <w:p w14:paraId="4A2E0A06" w14:textId="77777777" w:rsidR="00717EB1" w:rsidRPr="00747D28" w:rsidRDefault="00717EB1" w:rsidP="00717EB1"/>
    <w:p w14:paraId="634370DB" w14:textId="77777777" w:rsidR="00717EB1" w:rsidRPr="00747D28" w:rsidRDefault="00717EB1" w:rsidP="00717EB1">
      <w:pPr>
        <w:rPr>
          <w:i/>
          <w:snapToGrid w:val="0"/>
        </w:rPr>
      </w:pPr>
      <w:r w:rsidRPr="00747D28">
        <w:rPr>
          <w:i/>
          <w:snapToGrid w:val="0"/>
        </w:rPr>
        <w:t>Velikosti balení:</w:t>
      </w:r>
    </w:p>
    <w:p w14:paraId="2D4D68E3" w14:textId="722776E2" w:rsidR="00717EB1" w:rsidRPr="00747D28" w:rsidRDefault="00CA2AB4" w:rsidP="00717EB1">
      <w:pPr>
        <w:pStyle w:val="Zkladntext"/>
        <w:jc w:val="both"/>
      </w:pPr>
      <w:r>
        <w:t>6 x 2 ml, 3 x 2 ml</w:t>
      </w:r>
    </w:p>
    <w:p w14:paraId="0DBD9274" w14:textId="77777777" w:rsidR="00717EB1" w:rsidRPr="00747D28" w:rsidRDefault="00717EB1" w:rsidP="00717EB1">
      <w:r w:rsidRPr="00747D28">
        <w:t>Na trhu nemusí být všechny velikosti balení.</w:t>
      </w:r>
    </w:p>
    <w:p w14:paraId="3CA81248" w14:textId="77777777" w:rsidR="00717EB1" w:rsidRDefault="00717EB1" w:rsidP="00717EB1">
      <w:pPr>
        <w:rPr>
          <w:b/>
        </w:rPr>
      </w:pPr>
    </w:p>
    <w:p w14:paraId="16D21918" w14:textId="77777777" w:rsidR="0060166E" w:rsidRDefault="0060166E">
      <w:pPr>
        <w:rPr>
          <w:b/>
        </w:rPr>
      </w:pPr>
    </w:p>
    <w:p w14:paraId="15196565" w14:textId="64EB5729" w:rsidR="0060166E" w:rsidRDefault="0060166E">
      <w:pPr>
        <w:spacing w:line="360" w:lineRule="auto"/>
      </w:pPr>
      <w:r>
        <w:rPr>
          <w:b/>
        </w:rPr>
        <w:t>1</w:t>
      </w:r>
      <w:r w:rsidR="00704491">
        <w:rPr>
          <w:b/>
        </w:rPr>
        <w:t>5</w:t>
      </w:r>
      <w:r>
        <w:rPr>
          <w:b/>
        </w:rPr>
        <w:t>.</w:t>
      </w:r>
      <w:r>
        <w:rPr>
          <w:b/>
        </w:rPr>
        <w:tab/>
        <w:t>D</w:t>
      </w:r>
      <w:r w:rsidR="00704491">
        <w:rPr>
          <w:b/>
        </w:rPr>
        <w:t>atum poslední revize příbalové informace</w:t>
      </w:r>
    </w:p>
    <w:p w14:paraId="0A538599" w14:textId="5FC96B04" w:rsidR="0060166E" w:rsidRDefault="005D1791">
      <w:pPr>
        <w:ind w:right="-318"/>
      </w:pPr>
      <w:r w:rsidRPr="007213B6">
        <w:t>11</w:t>
      </w:r>
      <w:r>
        <w:t>/</w:t>
      </w:r>
      <w:r w:rsidR="00735B43">
        <w:t>20</w:t>
      </w:r>
      <w:r w:rsidR="00704491">
        <w:t>25</w:t>
      </w:r>
    </w:p>
    <w:p w14:paraId="4138F102" w14:textId="77777777" w:rsidR="0060166E" w:rsidRDefault="0060166E">
      <w:pPr>
        <w:ind w:right="-318"/>
      </w:pPr>
    </w:p>
    <w:p w14:paraId="1F5DE51C" w14:textId="77777777" w:rsidR="00063E4A" w:rsidRDefault="00063E4A" w:rsidP="00063E4A">
      <w:pPr>
        <w:ind w:right="-1"/>
        <w:rPr>
          <w:b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4F7E48">
          <w:rPr>
            <w:rStyle w:val="Hypertextovodkaz"/>
            <w:i/>
            <w:iCs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5"/>
    </w:p>
    <w:p w14:paraId="7296E32E" w14:textId="77777777" w:rsidR="0060166E" w:rsidRDefault="0060166E">
      <w:pPr>
        <w:ind w:right="-318"/>
      </w:pPr>
    </w:p>
    <w:p w14:paraId="56B45A69" w14:textId="77777777" w:rsidR="00FE6B0A" w:rsidRPr="00B02D3D" w:rsidRDefault="00FE6B0A" w:rsidP="00FE6B0A">
      <w:pPr>
        <w:tabs>
          <w:tab w:val="left" w:pos="567"/>
        </w:tabs>
        <w:jc w:val="both"/>
        <w:rPr>
          <w:sz w:val="22"/>
          <w:szCs w:val="22"/>
        </w:rPr>
      </w:pPr>
      <w:bookmarkStart w:id="6" w:name="_Hlk148432335"/>
      <w:r w:rsidRPr="00B02D3D">
        <w:rPr>
          <w:sz w:val="22"/>
          <w:szCs w:val="22"/>
        </w:rPr>
        <w:t>Podrobné informace o tomto veterinárním léčivém přípravku naleznete také v národní databázi (</w:t>
      </w:r>
      <w:hyperlink r:id="rId9" w:history="1">
        <w:r w:rsidRPr="00B02D3D">
          <w:rPr>
            <w:rStyle w:val="Hypertextovodkaz"/>
            <w:sz w:val="22"/>
            <w:szCs w:val="22"/>
          </w:rPr>
          <w:t>https://www.uskvbl.cz</w:t>
        </w:r>
      </w:hyperlink>
      <w:r w:rsidRPr="00B02D3D">
        <w:rPr>
          <w:sz w:val="22"/>
          <w:szCs w:val="22"/>
        </w:rPr>
        <w:t>).</w:t>
      </w:r>
    </w:p>
    <w:bookmarkEnd w:id="6"/>
    <w:p w14:paraId="21964B0E" w14:textId="77777777" w:rsidR="0060166E" w:rsidRDefault="0060166E">
      <w:pPr>
        <w:ind w:right="-318"/>
      </w:pPr>
    </w:p>
    <w:p w14:paraId="1DCA2EEE" w14:textId="77777777" w:rsidR="00704491" w:rsidRPr="00747D28" w:rsidRDefault="00704491" w:rsidP="00704491">
      <w:pPr>
        <w:spacing w:after="120"/>
      </w:pPr>
      <w:r w:rsidRPr="00747D28">
        <w:rPr>
          <w:b/>
        </w:rPr>
        <w:t xml:space="preserve">16. </w:t>
      </w:r>
      <w:r w:rsidRPr="00747D28">
        <w:rPr>
          <w:b/>
          <w:bCs/>
        </w:rPr>
        <w:t>Kontaktní údaje</w:t>
      </w:r>
    </w:p>
    <w:p w14:paraId="707727F1" w14:textId="39BCEE15" w:rsidR="00704491" w:rsidRPr="00747D28" w:rsidRDefault="00704491" w:rsidP="00704491">
      <w:pPr>
        <w:spacing w:after="120"/>
        <w:jc w:val="both"/>
      </w:pPr>
      <w:r w:rsidRPr="00747D28">
        <w:rPr>
          <w:iCs/>
          <w:u w:val="single"/>
        </w:rPr>
        <w:t>Držitel rozhodnutí o registraci a výrobce odpovědný za uvolnění šarže a kontaktní údaje pro hlášení podezření na nežádoucí účinky</w:t>
      </w:r>
      <w:r w:rsidR="00063E4A">
        <w:rPr>
          <w:iCs/>
          <w:u w:val="single"/>
        </w:rPr>
        <w:t>:</w:t>
      </w:r>
    </w:p>
    <w:p w14:paraId="26442D55" w14:textId="77777777" w:rsidR="00704491" w:rsidRPr="00747D28" w:rsidRDefault="00704491" w:rsidP="00704491">
      <w:pPr>
        <w:pStyle w:val="Nadpis3"/>
        <w:spacing w:before="0" w:after="0"/>
        <w:rPr>
          <w:rFonts w:ascii="Times New Roman" w:hAnsi="Times New Roman"/>
          <w:szCs w:val="24"/>
        </w:rPr>
      </w:pPr>
      <w:r w:rsidRPr="00747D28">
        <w:rPr>
          <w:rFonts w:ascii="Times New Roman" w:hAnsi="Times New Roman"/>
          <w:szCs w:val="24"/>
        </w:rPr>
        <w:lastRenderedPageBreak/>
        <w:t>Contipro a.s</w:t>
      </w:r>
      <w:r w:rsidR="00E73F94">
        <w:rPr>
          <w:rFonts w:ascii="Times New Roman" w:hAnsi="Times New Roman"/>
          <w:szCs w:val="24"/>
        </w:rPr>
        <w:t xml:space="preserve">, </w:t>
      </w:r>
      <w:r w:rsidRPr="00747D28">
        <w:rPr>
          <w:rFonts w:ascii="Times New Roman" w:hAnsi="Times New Roman"/>
          <w:szCs w:val="24"/>
        </w:rPr>
        <w:t>Dolní Dobrouč 401</w:t>
      </w:r>
      <w:r w:rsidR="00E73F94">
        <w:rPr>
          <w:rFonts w:ascii="Times New Roman" w:hAnsi="Times New Roman"/>
          <w:szCs w:val="24"/>
        </w:rPr>
        <w:t xml:space="preserve">, </w:t>
      </w:r>
      <w:r w:rsidRPr="00747D28">
        <w:rPr>
          <w:rFonts w:ascii="Times New Roman" w:hAnsi="Times New Roman"/>
          <w:szCs w:val="24"/>
        </w:rPr>
        <w:t>561 02 Dolní Dobrouč</w:t>
      </w:r>
    </w:p>
    <w:p w14:paraId="208BD532" w14:textId="5D1B165B" w:rsidR="00704491" w:rsidRPr="00747D28" w:rsidRDefault="00704491" w:rsidP="00E73F94">
      <w:pPr>
        <w:pStyle w:val="Nadpis3"/>
        <w:spacing w:before="0" w:after="120"/>
        <w:rPr>
          <w:rFonts w:ascii="Times New Roman" w:hAnsi="Times New Roman"/>
          <w:szCs w:val="24"/>
        </w:rPr>
      </w:pPr>
      <w:r w:rsidRPr="00747D28">
        <w:rPr>
          <w:rFonts w:ascii="Times New Roman" w:hAnsi="Times New Roman"/>
          <w:szCs w:val="24"/>
        </w:rPr>
        <w:t>tel.: + 420 465 519</w:t>
      </w:r>
      <w:r w:rsidR="00E73F94">
        <w:rPr>
          <w:rFonts w:ascii="Times New Roman" w:hAnsi="Times New Roman"/>
          <w:szCs w:val="24"/>
        </w:rPr>
        <w:t> </w:t>
      </w:r>
      <w:r w:rsidRPr="00747D28">
        <w:rPr>
          <w:rFonts w:ascii="Times New Roman" w:hAnsi="Times New Roman"/>
          <w:szCs w:val="24"/>
        </w:rPr>
        <w:t>530</w:t>
      </w:r>
      <w:r w:rsidR="00E73F94">
        <w:rPr>
          <w:rFonts w:ascii="Times New Roman" w:hAnsi="Times New Roman"/>
          <w:szCs w:val="24"/>
        </w:rPr>
        <w:t>, e</w:t>
      </w:r>
      <w:r w:rsidRPr="00747D28">
        <w:rPr>
          <w:rFonts w:ascii="Times New Roman" w:hAnsi="Times New Roman"/>
          <w:szCs w:val="24"/>
        </w:rPr>
        <w:t xml:space="preserve">-mail: </w:t>
      </w:r>
      <w:hyperlink r:id="rId10" w:history="1">
        <w:r w:rsidRPr="00747D28">
          <w:rPr>
            <w:rStyle w:val="Hypertextovodkaz"/>
            <w:rFonts w:ascii="Times New Roman" w:hAnsi="Times New Roman"/>
            <w:szCs w:val="24"/>
          </w:rPr>
          <w:t>sales@contipro.com</w:t>
        </w:r>
      </w:hyperlink>
    </w:p>
    <w:p w14:paraId="6D502A8E" w14:textId="5784EADD" w:rsidR="00704491" w:rsidRPr="00704491" w:rsidRDefault="00704491" w:rsidP="00704491">
      <w:pPr>
        <w:tabs>
          <w:tab w:val="left" w:pos="1230"/>
        </w:tabs>
      </w:pPr>
      <w:r w:rsidRPr="001B737B">
        <w:rPr>
          <w:iCs/>
          <w:u w:val="single"/>
        </w:rPr>
        <w:t>Kontakt pro hlášení podezření na nežádoucí účinky:</w:t>
      </w:r>
      <w:r w:rsidRPr="00747D28">
        <w:rPr>
          <w:iCs/>
        </w:rPr>
        <w:t xml:space="preserve"> </w:t>
      </w:r>
      <w:bookmarkStart w:id="7" w:name="_Hlk192516752"/>
      <w:r w:rsidRPr="00747D28">
        <w:rPr>
          <w:iCs/>
        </w:rPr>
        <w:fldChar w:fldCharType="begin"/>
      </w:r>
      <w:r w:rsidRPr="00747D28">
        <w:rPr>
          <w:iCs/>
        </w:rPr>
        <w:instrText>HYPERLINK "mailto:vigilance@contipro.com"</w:instrText>
      </w:r>
      <w:r w:rsidRPr="00747D28">
        <w:rPr>
          <w:iCs/>
        </w:rPr>
        <w:fldChar w:fldCharType="separate"/>
      </w:r>
      <w:r w:rsidRPr="00747D28">
        <w:rPr>
          <w:rStyle w:val="Hypertextovodkaz"/>
          <w:iCs/>
        </w:rPr>
        <w:t>vigilance@contipro.com</w:t>
      </w:r>
      <w:r w:rsidRPr="00747D28">
        <w:rPr>
          <w:iCs/>
        </w:rPr>
        <w:fldChar w:fldCharType="end"/>
      </w:r>
      <w:bookmarkEnd w:id="7"/>
    </w:p>
    <w:sectPr w:rsidR="00704491" w:rsidRPr="00704491" w:rsidSect="0080233B">
      <w:footerReference w:type="default" r:id="rId11"/>
      <w:type w:val="continuous"/>
      <w:pgSz w:w="11907" w:h="16840" w:code="9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D31AF" w14:textId="77777777" w:rsidR="00FD661C" w:rsidRDefault="00FD661C" w:rsidP="00704491">
      <w:r>
        <w:separator/>
      </w:r>
    </w:p>
  </w:endnote>
  <w:endnote w:type="continuationSeparator" w:id="0">
    <w:p w14:paraId="008B8668" w14:textId="77777777" w:rsidR="00FD661C" w:rsidRDefault="00FD661C" w:rsidP="0070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B7C0" w14:textId="77777777" w:rsidR="00704491" w:rsidRDefault="00704491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1A0AFB33" w14:textId="77777777" w:rsidR="00704491" w:rsidRDefault="007044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7C789" w14:textId="77777777" w:rsidR="00FD661C" w:rsidRDefault="00FD661C" w:rsidP="00704491">
      <w:r>
        <w:separator/>
      </w:r>
    </w:p>
  </w:footnote>
  <w:footnote w:type="continuationSeparator" w:id="0">
    <w:p w14:paraId="153C0878" w14:textId="77777777" w:rsidR="00FD661C" w:rsidRDefault="00FD661C" w:rsidP="00704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E7E053C"/>
    <w:multiLevelType w:val="hybridMultilevel"/>
    <w:tmpl w:val="820C8336"/>
    <w:lvl w:ilvl="0" w:tplc="0EE0F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0C3C1E"/>
    <w:multiLevelType w:val="hybridMultilevel"/>
    <w:tmpl w:val="BCC6941C"/>
    <w:lvl w:ilvl="0" w:tplc="4E90469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CE8E8C4" w:tentative="1">
      <w:start w:val="1"/>
      <w:numFmt w:val="lowerLetter"/>
      <w:lvlText w:val="%2."/>
      <w:lvlJc w:val="left"/>
      <w:pPr>
        <w:ind w:left="1440" w:hanging="360"/>
      </w:pPr>
    </w:lvl>
    <w:lvl w:ilvl="2" w:tplc="34DEAFFE" w:tentative="1">
      <w:start w:val="1"/>
      <w:numFmt w:val="lowerRoman"/>
      <w:lvlText w:val="%3."/>
      <w:lvlJc w:val="right"/>
      <w:pPr>
        <w:ind w:left="2160" w:hanging="180"/>
      </w:pPr>
    </w:lvl>
    <w:lvl w:ilvl="3" w:tplc="190C6868" w:tentative="1">
      <w:start w:val="1"/>
      <w:numFmt w:val="decimal"/>
      <w:lvlText w:val="%4."/>
      <w:lvlJc w:val="left"/>
      <w:pPr>
        <w:ind w:left="2880" w:hanging="360"/>
      </w:pPr>
    </w:lvl>
    <w:lvl w:ilvl="4" w:tplc="E4D2CF74" w:tentative="1">
      <w:start w:val="1"/>
      <w:numFmt w:val="lowerLetter"/>
      <w:lvlText w:val="%5."/>
      <w:lvlJc w:val="left"/>
      <w:pPr>
        <w:ind w:left="3600" w:hanging="360"/>
      </w:pPr>
    </w:lvl>
    <w:lvl w:ilvl="5" w:tplc="39EC8E4C" w:tentative="1">
      <w:start w:val="1"/>
      <w:numFmt w:val="lowerRoman"/>
      <w:lvlText w:val="%6."/>
      <w:lvlJc w:val="right"/>
      <w:pPr>
        <w:ind w:left="4320" w:hanging="180"/>
      </w:pPr>
    </w:lvl>
    <w:lvl w:ilvl="6" w:tplc="99283FE2" w:tentative="1">
      <w:start w:val="1"/>
      <w:numFmt w:val="decimal"/>
      <w:lvlText w:val="%7."/>
      <w:lvlJc w:val="left"/>
      <w:pPr>
        <w:ind w:left="5040" w:hanging="360"/>
      </w:pPr>
    </w:lvl>
    <w:lvl w:ilvl="7" w:tplc="19428022" w:tentative="1">
      <w:start w:val="1"/>
      <w:numFmt w:val="lowerLetter"/>
      <w:lvlText w:val="%8."/>
      <w:lvlJc w:val="left"/>
      <w:pPr>
        <w:ind w:left="5760" w:hanging="360"/>
      </w:pPr>
    </w:lvl>
    <w:lvl w:ilvl="8" w:tplc="28A8386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B43"/>
    <w:rsid w:val="00003294"/>
    <w:rsid w:val="00042BED"/>
    <w:rsid w:val="00053DC1"/>
    <w:rsid w:val="00063E4A"/>
    <w:rsid w:val="00070072"/>
    <w:rsid w:val="000B6E15"/>
    <w:rsid w:val="00122212"/>
    <w:rsid w:val="001253FE"/>
    <w:rsid w:val="00132318"/>
    <w:rsid w:val="0013745E"/>
    <w:rsid w:val="00155493"/>
    <w:rsid w:val="001836C8"/>
    <w:rsid w:val="001B737B"/>
    <w:rsid w:val="001F7A9E"/>
    <w:rsid w:val="00237CEA"/>
    <w:rsid w:val="00251449"/>
    <w:rsid w:val="002C3302"/>
    <w:rsid w:val="002E695D"/>
    <w:rsid w:val="00327BB3"/>
    <w:rsid w:val="00372C77"/>
    <w:rsid w:val="0039233A"/>
    <w:rsid w:val="003D6456"/>
    <w:rsid w:val="003E6084"/>
    <w:rsid w:val="00421AC0"/>
    <w:rsid w:val="00454AA5"/>
    <w:rsid w:val="00501507"/>
    <w:rsid w:val="00542A9F"/>
    <w:rsid w:val="005D1791"/>
    <w:rsid w:val="005E08C8"/>
    <w:rsid w:val="005F7EF7"/>
    <w:rsid w:val="0060166E"/>
    <w:rsid w:val="00613ABD"/>
    <w:rsid w:val="00665E64"/>
    <w:rsid w:val="006A6374"/>
    <w:rsid w:val="006C29FF"/>
    <w:rsid w:val="006D7281"/>
    <w:rsid w:val="006F225F"/>
    <w:rsid w:val="00704491"/>
    <w:rsid w:val="00710B71"/>
    <w:rsid w:val="00717EB1"/>
    <w:rsid w:val="007213B6"/>
    <w:rsid w:val="00735B43"/>
    <w:rsid w:val="00775EEA"/>
    <w:rsid w:val="007B23D4"/>
    <w:rsid w:val="0080233B"/>
    <w:rsid w:val="0082124A"/>
    <w:rsid w:val="00853298"/>
    <w:rsid w:val="008A780F"/>
    <w:rsid w:val="009A0A44"/>
    <w:rsid w:val="009A19A5"/>
    <w:rsid w:val="009C08AC"/>
    <w:rsid w:val="009E32D8"/>
    <w:rsid w:val="00B16655"/>
    <w:rsid w:val="00B318B6"/>
    <w:rsid w:val="00BF137D"/>
    <w:rsid w:val="00C44347"/>
    <w:rsid w:val="00C84969"/>
    <w:rsid w:val="00C86A5E"/>
    <w:rsid w:val="00C92E9C"/>
    <w:rsid w:val="00CA2AB4"/>
    <w:rsid w:val="00CA6D07"/>
    <w:rsid w:val="00CA7B93"/>
    <w:rsid w:val="00D06BAB"/>
    <w:rsid w:val="00D2271C"/>
    <w:rsid w:val="00D866D9"/>
    <w:rsid w:val="00DB5BC1"/>
    <w:rsid w:val="00DE2F46"/>
    <w:rsid w:val="00E068EA"/>
    <w:rsid w:val="00E41CB3"/>
    <w:rsid w:val="00E73F94"/>
    <w:rsid w:val="00F068B9"/>
    <w:rsid w:val="00F1204A"/>
    <w:rsid w:val="00F14A15"/>
    <w:rsid w:val="00F40A30"/>
    <w:rsid w:val="00F4590C"/>
    <w:rsid w:val="00FD661C"/>
    <w:rsid w:val="00FD725F"/>
    <w:rsid w:val="00F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A20C8D"/>
  <w15:chartTrackingRefBased/>
  <w15:docId w15:val="{73B35234-766C-4FFE-B9AA-20EDC7AA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708"/>
      </w:tabs>
      <w:outlineLvl w:val="0"/>
    </w:pPr>
    <w:rPr>
      <w:b/>
      <w:snapToGrid w:val="0"/>
      <w:sz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pPr>
      <w:ind w:left="567" w:hanging="567"/>
      <w:jc w:val="both"/>
    </w:pPr>
    <w:rPr>
      <w:b/>
      <w:sz w:val="22"/>
      <w:szCs w:val="20"/>
      <w:lang w:eastAsia="en-US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E32D8"/>
    <w:rPr>
      <w:sz w:val="24"/>
      <w:szCs w:val="24"/>
    </w:rPr>
  </w:style>
  <w:style w:type="character" w:styleId="Odkaznakoment">
    <w:name w:val="annotation reference"/>
    <w:rsid w:val="00704491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4491"/>
    <w:rPr>
      <w:sz w:val="20"/>
      <w:szCs w:val="20"/>
    </w:rPr>
  </w:style>
  <w:style w:type="character" w:customStyle="1" w:styleId="TextkomenteChar">
    <w:name w:val="Text komentáře Char"/>
    <w:link w:val="Textkomente"/>
    <w:rsid w:val="00704491"/>
    <w:rPr>
      <w:lang w:eastAsia="cs-CZ"/>
    </w:rPr>
  </w:style>
  <w:style w:type="paragraph" w:styleId="Zhlav">
    <w:name w:val="header"/>
    <w:basedOn w:val="Normln"/>
    <w:link w:val="ZhlavChar"/>
    <w:rsid w:val="00704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04491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044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04491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F14A15"/>
    <w:rPr>
      <w:b/>
      <w:bCs/>
    </w:rPr>
  </w:style>
  <w:style w:type="character" w:customStyle="1" w:styleId="PedmtkomenteChar">
    <w:name w:val="Předmět komentáře Char"/>
    <w:link w:val="Pedmtkomente"/>
    <w:rsid w:val="00F14A15"/>
    <w:rPr>
      <w:b/>
      <w:bCs/>
      <w:lang w:eastAsia="cs-CZ"/>
    </w:rPr>
  </w:style>
  <w:style w:type="paragraph" w:customStyle="1" w:styleId="Style3">
    <w:name w:val="Style3"/>
    <w:basedOn w:val="Normln"/>
    <w:qFormat/>
    <w:rsid w:val="00D06BAB"/>
    <w:pPr>
      <w:numPr>
        <w:numId w:val="3"/>
      </w:numPr>
      <w:jc w:val="center"/>
    </w:pPr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les@contipr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A9E86-3388-4829-B90A-FD3F6AB8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984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BONHAREN intravenous 1%  inj</vt:lpstr>
    </vt:vector>
  </TitlesOfParts>
  <Company>Hewlett-Packard Company</Company>
  <LinksUpToDate>false</LinksUpToDate>
  <CharactersWithSpaces>6783</CharactersWithSpaces>
  <SharedDoc>false</SharedDoc>
  <HLinks>
    <vt:vector size="18" baseType="variant">
      <vt:variant>
        <vt:i4>4391023</vt:i4>
      </vt:variant>
      <vt:variant>
        <vt:i4>6</vt:i4>
      </vt:variant>
      <vt:variant>
        <vt:i4>0</vt:i4>
      </vt:variant>
      <vt:variant>
        <vt:i4>5</vt:i4>
      </vt:variant>
      <vt:variant>
        <vt:lpwstr>mailto:vigilance@contipro.com</vt:lpwstr>
      </vt:variant>
      <vt:variant>
        <vt:lpwstr/>
      </vt:variant>
      <vt:variant>
        <vt:i4>5832809</vt:i4>
      </vt:variant>
      <vt:variant>
        <vt:i4>3</vt:i4>
      </vt:variant>
      <vt:variant>
        <vt:i4>0</vt:i4>
      </vt:variant>
      <vt:variant>
        <vt:i4>5</vt:i4>
      </vt:variant>
      <vt:variant>
        <vt:lpwstr>mailto:sales@contipro.com</vt:lpwstr>
      </vt:variant>
      <vt:variant>
        <vt:lpwstr/>
      </vt:variant>
      <vt:variant>
        <vt:i4>4980841</vt:i4>
      </vt:variant>
      <vt:variant>
        <vt:i4>0</vt:i4>
      </vt:variant>
      <vt:variant>
        <vt:i4>0</vt:i4>
      </vt:variant>
      <vt:variant>
        <vt:i4>5</vt:i4>
      </vt:variant>
      <vt:variant>
        <vt:lpwstr>mailto:sales@contipro.cz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BONHAREN intravenous 1%  inj</dc:title>
  <dc:subject/>
  <dc:creator>ivan</dc:creator>
  <cp:keywords/>
  <cp:lastModifiedBy>Nepejchalová Leona</cp:lastModifiedBy>
  <cp:revision>39</cp:revision>
  <cp:lastPrinted>2025-12-02T10:37:00Z</cp:lastPrinted>
  <dcterms:created xsi:type="dcterms:W3CDTF">2025-05-20T11:38:00Z</dcterms:created>
  <dcterms:modified xsi:type="dcterms:W3CDTF">2025-12-02T10:37:00Z</dcterms:modified>
</cp:coreProperties>
</file>