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4"/>
      </w:tblGrid>
      <w:tr w:rsidR="00554D84" w:rsidRPr="00FD3168" w14:paraId="198A3A5E" w14:textId="77777777" w:rsidTr="001E7412">
        <w:trPr>
          <w:trHeight w:val="557"/>
        </w:trPr>
        <w:tc>
          <w:tcPr>
            <w:tcW w:w="9074" w:type="dxa"/>
            <w:tcBorders>
              <w:bottom w:val="single" w:sz="4" w:space="0" w:color="auto"/>
            </w:tcBorders>
          </w:tcPr>
          <w:p w14:paraId="4AD3B978" w14:textId="5B011A84" w:rsidR="00554D84" w:rsidRPr="00FD3168" w:rsidRDefault="00C1798B" w:rsidP="00270E41">
            <w:pPr>
              <w:ind w:left="0" w:firstLine="0"/>
              <w:rPr>
                <w:b/>
                <w:szCs w:val="22"/>
                <w:u w:val="single"/>
                <w:lang w:eastAsia="sv-SE"/>
              </w:rPr>
            </w:pPr>
            <w:r w:rsidRPr="00FD3168">
              <w:rPr>
                <w:b/>
                <w:szCs w:val="22"/>
                <w:u w:val="single"/>
                <w:lang w:eastAsia="sv-SE"/>
              </w:rPr>
              <w:t>KOMBINOVANÁ ETIKETA (</w:t>
            </w:r>
            <w:r w:rsidR="00270E41" w:rsidRPr="00FD3168">
              <w:rPr>
                <w:b/>
              </w:rPr>
              <w:t xml:space="preserve">PODROBNÉ ÚDAJE UVÁDĚNÉ NA </w:t>
            </w:r>
            <w:r w:rsidRPr="00FD3168">
              <w:rPr>
                <w:b/>
              </w:rPr>
              <w:t xml:space="preserve">VNITŘNÍM </w:t>
            </w:r>
            <w:r w:rsidR="00270E41" w:rsidRPr="00FD3168">
              <w:rPr>
                <w:b/>
              </w:rPr>
              <w:t>OBALU</w:t>
            </w:r>
            <w:r w:rsidRPr="00FD3168">
              <w:rPr>
                <w:b/>
              </w:rPr>
              <w:t xml:space="preserve">) </w:t>
            </w:r>
            <w:r w:rsidR="00270E41" w:rsidRPr="00FD3168">
              <w:rPr>
                <w:b/>
                <w:szCs w:val="22"/>
                <w:u w:val="single"/>
                <w:lang w:eastAsia="sv-SE"/>
              </w:rPr>
              <w:t>A </w:t>
            </w:r>
            <w:r w:rsidR="00270E41" w:rsidRPr="00FD3168">
              <w:rPr>
                <w:b/>
                <w:u w:val="single"/>
              </w:rPr>
              <w:t>PŘÍBALOVÁ INFORMACE</w:t>
            </w:r>
          </w:p>
          <w:p w14:paraId="377F014B" w14:textId="77777777" w:rsidR="0053744D" w:rsidRPr="00FD3168" w:rsidRDefault="0053744D" w:rsidP="0053744D"/>
          <w:p w14:paraId="1E6165C7" w14:textId="77777777" w:rsidR="0053744D" w:rsidRPr="00FD3168" w:rsidRDefault="0053744D" w:rsidP="0053744D">
            <w:r w:rsidRPr="00FD3168">
              <w:t>25 hubek</w:t>
            </w:r>
          </w:p>
        </w:tc>
      </w:tr>
    </w:tbl>
    <w:p w14:paraId="66EDEF07" w14:textId="77777777" w:rsidR="00554D84" w:rsidRPr="00FD3168" w:rsidRDefault="00554D84">
      <w:pPr>
        <w:rPr>
          <w:sz w:val="16"/>
          <w:szCs w:val="16"/>
          <w:u w:val="single"/>
        </w:rPr>
      </w:pPr>
    </w:p>
    <w:p w14:paraId="50F7D94D" w14:textId="77777777" w:rsidR="00270E41" w:rsidRPr="00FD3168" w:rsidRDefault="00270E41" w:rsidP="00270E41">
      <w:pPr>
        <w:rPr>
          <w:szCs w:val="22"/>
          <w:lang w:eastAsia="sv-SE"/>
        </w:rPr>
      </w:pPr>
    </w:p>
    <w:p w14:paraId="4F583F2E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1. </w:t>
      </w:r>
      <w:r w:rsidRPr="00FD3168">
        <w:rPr>
          <w:b/>
          <w:bCs/>
          <w:szCs w:val="22"/>
          <w:lang w:eastAsia="sv-SE"/>
        </w:rPr>
        <w:tab/>
        <w:t>Jméno a adresa držitele rozhodnutí o registraci a držitele povolení k výrobě odpovědného za uvolnění šarže, pokud se neshoduje</w:t>
      </w:r>
    </w:p>
    <w:p w14:paraId="077CAA3F" w14:textId="77777777" w:rsidR="00554D84" w:rsidRPr="00FD3168" w:rsidRDefault="00554D84">
      <w:pPr>
        <w:ind w:left="0" w:firstLine="0"/>
      </w:pPr>
    </w:p>
    <w:p w14:paraId="73B84886" w14:textId="5FCC573B" w:rsidR="00C1798B" w:rsidRPr="00FD3168" w:rsidRDefault="00C1798B" w:rsidP="00204EDF">
      <w:pPr>
        <w:ind w:left="0" w:firstLine="0"/>
        <w:rPr>
          <w:u w:val="single"/>
        </w:rPr>
      </w:pPr>
      <w:r w:rsidRPr="00FD3168">
        <w:rPr>
          <w:u w:val="single"/>
        </w:rPr>
        <w:t>Držitel rozhodnutí o registraci</w:t>
      </w:r>
      <w:r w:rsidR="00B861D6">
        <w:rPr>
          <w:u w:val="single"/>
        </w:rPr>
        <w:t>:</w:t>
      </w:r>
      <w:r w:rsidRPr="00FD3168">
        <w:rPr>
          <w:u w:val="single"/>
        </w:rPr>
        <w:t xml:space="preserve"> </w:t>
      </w:r>
    </w:p>
    <w:p w14:paraId="00B9E39A" w14:textId="3BE6CE89" w:rsidR="00A23A89" w:rsidRDefault="00A23A89" w:rsidP="00A23A89">
      <w:pPr>
        <w:ind w:right="-318"/>
        <w:jc w:val="both"/>
        <w:rPr>
          <w:lang w:eastAsia="cs-CZ"/>
        </w:rPr>
      </w:pPr>
      <w:r>
        <w:t>BIOGÉNESIS GLOBAL, S.L.</w:t>
      </w:r>
    </w:p>
    <w:p w14:paraId="765D2B63" w14:textId="208E23E8" w:rsidR="00A23A89" w:rsidRDefault="00A23A89" w:rsidP="00A23A89">
      <w:pPr>
        <w:ind w:right="-318"/>
        <w:jc w:val="both"/>
        <w:rPr>
          <w:szCs w:val="22"/>
        </w:rPr>
      </w:pPr>
      <w:proofErr w:type="spellStart"/>
      <w:r>
        <w:rPr>
          <w:szCs w:val="22"/>
        </w:rPr>
        <w:t>Calle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Quintandueñas</w:t>
      </w:r>
      <w:proofErr w:type="spellEnd"/>
      <w:r>
        <w:rPr>
          <w:szCs w:val="22"/>
        </w:rPr>
        <w:t xml:space="preserve">, 6, </w:t>
      </w:r>
      <w:proofErr w:type="spellStart"/>
      <w:r>
        <w:rPr>
          <w:szCs w:val="22"/>
        </w:rPr>
        <w:t>Bloque</w:t>
      </w:r>
      <w:proofErr w:type="spellEnd"/>
      <w:r>
        <w:rPr>
          <w:szCs w:val="22"/>
        </w:rPr>
        <w:t xml:space="preserve"> A </w:t>
      </w:r>
      <w:proofErr w:type="gramStart"/>
      <w:r>
        <w:rPr>
          <w:szCs w:val="22"/>
        </w:rPr>
        <w:t>1</w:t>
      </w:r>
      <w:r>
        <w:rPr>
          <w:szCs w:val="22"/>
          <w:vertAlign w:val="superscript"/>
        </w:rPr>
        <w:t>a</w:t>
      </w:r>
      <w:proofErr w:type="gramEnd"/>
      <w:r>
        <w:rPr>
          <w:szCs w:val="22"/>
        </w:rPr>
        <w:t xml:space="preserve"> planta</w:t>
      </w:r>
    </w:p>
    <w:p w14:paraId="2D88D57E" w14:textId="77777777" w:rsidR="00B861D6" w:rsidRDefault="00B861D6" w:rsidP="00B861D6">
      <w:pPr>
        <w:tabs>
          <w:tab w:val="left" w:pos="0"/>
          <w:tab w:val="left" w:pos="709"/>
        </w:tabs>
        <w:spacing w:line="260" w:lineRule="exact"/>
        <w:ind w:left="0" w:firstLine="0"/>
        <w:jc w:val="both"/>
        <w:rPr>
          <w:szCs w:val="22"/>
        </w:rPr>
      </w:pPr>
      <w:r w:rsidRPr="005B2FBD">
        <w:rPr>
          <w:szCs w:val="22"/>
          <w:lang w:val="es-AR"/>
        </w:rPr>
        <w:t>28050 Madrid</w:t>
      </w:r>
      <w:r w:rsidRPr="005F5BDB" w:rsidDel="002B5941">
        <w:rPr>
          <w:szCs w:val="22"/>
        </w:rPr>
        <w:t xml:space="preserve"> </w:t>
      </w:r>
    </w:p>
    <w:p w14:paraId="053AEED0" w14:textId="7573029C" w:rsidR="00B861D6" w:rsidRDefault="00B861D6" w:rsidP="00B861D6">
      <w:pPr>
        <w:ind w:left="0" w:firstLine="0"/>
      </w:pPr>
      <w:r>
        <w:rPr>
          <w:szCs w:val="22"/>
        </w:rPr>
        <w:t>Španělsko</w:t>
      </w:r>
    </w:p>
    <w:p w14:paraId="2D60A34E" w14:textId="525C1DC3" w:rsidR="00B861D6" w:rsidRDefault="00B861D6" w:rsidP="00204EDF">
      <w:pPr>
        <w:ind w:left="0" w:firstLine="0"/>
      </w:pPr>
    </w:p>
    <w:p w14:paraId="06757849" w14:textId="1F44FA46" w:rsidR="00B861D6" w:rsidRPr="00FD3168" w:rsidRDefault="00B861D6" w:rsidP="00B861D6">
      <w:pPr>
        <w:ind w:left="0" w:firstLine="0"/>
        <w:rPr>
          <w:u w:val="single"/>
        </w:rPr>
      </w:pPr>
      <w:r>
        <w:rPr>
          <w:u w:val="single"/>
        </w:rPr>
        <w:t>V</w:t>
      </w:r>
      <w:r w:rsidRPr="00FD3168">
        <w:rPr>
          <w:u w:val="single"/>
        </w:rPr>
        <w:t>ýrobce odpovědný za uvolnění šarže:</w:t>
      </w:r>
    </w:p>
    <w:p w14:paraId="227E0C29" w14:textId="77777777" w:rsidR="007A760A" w:rsidRDefault="007A760A" w:rsidP="007A760A">
      <w:pPr>
        <w:ind w:left="0" w:firstLine="0"/>
      </w:pPr>
      <w:r>
        <w:t>LABORATORIOS OVEJERO, S.A.U.</w:t>
      </w:r>
    </w:p>
    <w:p w14:paraId="58A5441B" w14:textId="77777777" w:rsidR="007A760A" w:rsidRDefault="007A760A" w:rsidP="007A760A">
      <w:pPr>
        <w:ind w:left="0" w:firstLine="0"/>
      </w:pPr>
      <w:proofErr w:type="spellStart"/>
      <w:r>
        <w:t>Ctra</w:t>
      </w:r>
      <w:proofErr w:type="spellEnd"/>
      <w:r>
        <w:t xml:space="preserve"> León-</w:t>
      </w:r>
      <w:proofErr w:type="spellStart"/>
      <w:r>
        <w:t>Vilecha</w:t>
      </w:r>
      <w:proofErr w:type="spellEnd"/>
      <w:r>
        <w:t xml:space="preserve">, 30  </w:t>
      </w:r>
    </w:p>
    <w:p w14:paraId="0A96F4C0" w14:textId="77777777" w:rsidR="007A760A" w:rsidRDefault="007A760A" w:rsidP="007A760A">
      <w:pPr>
        <w:ind w:left="0" w:firstLine="0"/>
      </w:pPr>
      <w:r>
        <w:t xml:space="preserve">24192 - León </w:t>
      </w:r>
    </w:p>
    <w:p w14:paraId="1315849E" w14:textId="1D8F4401" w:rsidR="00204EDF" w:rsidRPr="00FD3168" w:rsidRDefault="007A760A" w:rsidP="00204EDF">
      <w:pPr>
        <w:ind w:left="0" w:firstLine="0"/>
      </w:pPr>
      <w:r>
        <w:t xml:space="preserve">Španělsko </w:t>
      </w:r>
    </w:p>
    <w:p w14:paraId="3B8D61B0" w14:textId="77777777" w:rsidR="00204EDF" w:rsidRPr="00FD3168" w:rsidRDefault="00204EDF">
      <w:pPr>
        <w:ind w:left="0" w:firstLine="0"/>
      </w:pPr>
    </w:p>
    <w:p w14:paraId="39E970EF" w14:textId="77777777" w:rsidR="00270E41" w:rsidRPr="00FD3168" w:rsidRDefault="00270E41" w:rsidP="00270E41">
      <w:pPr>
        <w:rPr>
          <w:szCs w:val="22"/>
          <w:lang w:eastAsia="sv-SE"/>
        </w:rPr>
      </w:pPr>
    </w:p>
    <w:p w14:paraId="4B9E4C0D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/>
          <w:szCs w:val="18"/>
          <w:lang w:eastAsia="sv-SE"/>
        </w:rPr>
      </w:pPr>
      <w:r w:rsidRPr="00FD3168">
        <w:rPr>
          <w:b/>
          <w:lang w:eastAsia="sv-SE"/>
        </w:rPr>
        <w:t xml:space="preserve">2. </w:t>
      </w:r>
      <w:r w:rsidRPr="00FD3168">
        <w:rPr>
          <w:b/>
          <w:lang w:eastAsia="sv-SE"/>
        </w:rPr>
        <w:tab/>
        <w:t>Název veterinárního léčivého přípravku</w:t>
      </w:r>
    </w:p>
    <w:p w14:paraId="12D876A7" w14:textId="77777777" w:rsidR="00270E41" w:rsidRPr="00FD3168" w:rsidRDefault="00270E41" w:rsidP="008854D5">
      <w:pPr>
        <w:rPr>
          <w:lang w:eastAsia="sv-SE"/>
        </w:rPr>
      </w:pPr>
    </w:p>
    <w:p w14:paraId="154C95AD" w14:textId="189B1CBB" w:rsidR="00204EDF" w:rsidRPr="00FD3168" w:rsidRDefault="00204EDF" w:rsidP="00204EDF">
      <w:pPr>
        <w:ind w:left="0" w:firstLine="0"/>
      </w:pPr>
      <w:r w:rsidRPr="00FD3168">
        <w:t xml:space="preserve">OVIGEST 60 mg </w:t>
      </w:r>
      <w:r w:rsidR="00C1798B" w:rsidRPr="00FD3168">
        <w:t xml:space="preserve">léčivá </w:t>
      </w:r>
      <w:r w:rsidRPr="00FD3168">
        <w:t xml:space="preserve">hubka pro bahnice </w:t>
      </w:r>
    </w:p>
    <w:p w14:paraId="3616B962" w14:textId="77777777" w:rsidR="00204EDF" w:rsidRPr="00FD3168" w:rsidRDefault="00204EDF" w:rsidP="00204EDF">
      <w:pPr>
        <w:ind w:left="0" w:firstLine="0"/>
      </w:pPr>
      <w:proofErr w:type="spellStart"/>
      <w:r w:rsidRPr="00FD3168">
        <w:t>Medroxyprogesteronum</w:t>
      </w:r>
      <w:proofErr w:type="spellEnd"/>
      <w:r w:rsidRPr="00FD3168">
        <w:t xml:space="preserve"> </w:t>
      </w:r>
    </w:p>
    <w:p w14:paraId="20D2AC89" w14:textId="77777777" w:rsidR="00554D84" w:rsidRPr="00FD3168" w:rsidRDefault="00554D84"/>
    <w:p w14:paraId="4D31C5A2" w14:textId="77777777" w:rsidR="00270E41" w:rsidRPr="00FD3168" w:rsidRDefault="00270E41"/>
    <w:p w14:paraId="0977A4BB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3. </w:t>
      </w:r>
      <w:r w:rsidRPr="00FD3168">
        <w:rPr>
          <w:b/>
          <w:bCs/>
          <w:szCs w:val="22"/>
          <w:lang w:eastAsia="sv-SE"/>
        </w:rPr>
        <w:tab/>
        <w:t>Obsah léčivých a ostatních látek</w:t>
      </w:r>
    </w:p>
    <w:p w14:paraId="4DF75B58" w14:textId="77777777" w:rsidR="00270E41" w:rsidRPr="00FD3168" w:rsidRDefault="00270E41" w:rsidP="00270E41">
      <w:pPr>
        <w:rPr>
          <w:szCs w:val="22"/>
          <w:lang w:eastAsia="sv-SE"/>
        </w:rPr>
      </w:pPr>
    </w:p>
    <w:p w14:paraId="25782EC4" w14:textId="77777777" w:rsidR="00204EDF" w:rsidRPr="00FD3168" w:rsidRDefault="00AC30C1" w:rsidP="00204EDF">
      <w:pPr>
        <w:jc w:val="both"/>
        <w:rPr>
          <w:u w:val="single"/>
        </w:rPr>
      </w:pPr>
      <w:r w:rsidRPr="00FD3168">
        <w:rPr>
          <w:u w:val="single"/>
        </w:rPr>
        <w:t>1 hubka obsahuje</w:t>
      </w:r>
      <w:r w:rsidR="00204EDF" w:rsidRPr="00FD3168">
        <w:rPr>
          <w:u w:val="single"/>
        </w:rPr>
        <w:t>:</w:t>
      </w:r>
    </w:p>
    <w:p w14:paraId="0EA6C8FB" w14:textId="77777777" w:rsidR="00204EDF" w:rsidRPr="00FD3168" w:rsidRDefault="00204EDF" w:rsidP="00204EDF">
      <w:pPr>
        <w:rPr>
          <w:b/>
        </w:rPr>
      </w:pPr>
    </w:p>
    <w:p w14:paraId="2F790C5E" w14:textId="77777777" w:rsidR="00204EDF" w:rsidRPr="00FD3168" w:rsidRDefault="00204EDF" w:rsidP="00204EDF">
      <w:pPr>
        <w:rPr>
          <w:b/>
        </w:rPr>
      </w:pPr>
      <w:r w:rsidRPr="00FD3168">
        <w:rPr>
          <w:b/>
        </w:rPr>
        <w:t>Léčivá látka:</w:t>
      </w:r>
    </w:p>
    <w:p w14:paraId="51DC3B0E" w14:textId="77777777" w:rsidR="00204EDF" w:rsidRPr="00FD3168" w:rsidRDefault="00204EDF" w:rsidP="00204EDF">
      <w:pPr>
        <w:tabs>
          <w:tab w:val="left" w:leader="dot" w:pos="6237"/>
        </w:tabs>
        <w:rPr>
          <w:sz w:val="24"/>
        </w:rPr>
      </w:pPr>
      <w:proofErr w:type="spellStart"/>
      <w:r w:rsidRPr="00FD3168">
        <w:rPr>
          <w:bCs/>
          <w:szCs w:val="22"/>
        </w:rPr>
        <w:t>Medroxyprogesteroni</w:t>
      </w:r>
      <w:proofErr w:type="spellEnd"/>
      <w:r w:rsidRPr="00FD3168">
        <w:rPr>
          <w:bCs/>
          <w:szCs w:val="22"/>
        </w:rPr>
        <w:t xml:space="preserve"> </w:t>
      </w:r>
      <w:proofErr w:type="spellStart"/>
      <w:r w:rsidRPr="00FD3168">
        <w:rPr>
          <w:bCs/>
          <w:szCs w:val="22"/>
        </w:rPr>
        <w:t>acetas</w:t>
      </w:r>
      <w:proofErr w:type="spellEnd"/>
      <w:r w:rsidRPr="00FD3168">
        <w:rPr>
          <w:sz w:val="24"/>
        </w:rPr>
        <w:tab/>
        <w:t>60 mg</w:t>
      </w:r>
    </w:p>
    <w:p w14:paraId="08D257D0" w14:textId="77777777" w:rsidR="00204EDF" w:rsidRPr="00FD3168" w:rsidRDefault="00204EDF" w:rsidP="00204EDF">
      <w:pPr>
        <w:tabs>
          <w:tab w:val="left" w:pos="1701"/>
        </w:tabs>
        <w:rPr>
          <w:iCs/>
        </w:rPr>
      </w:pPr>
    </w:p>
    <w:p w14:paraId="087F843B" w14:textId="77777777" w:rsidR="00204EDF" w:rsidRPr="00FD3168" w:rsidRDefault="00AC30C1" w:rsidP="00204EDF">
      <w:pPr>
        <w:ind w:left="0" w:firstLine="0"/>
        <w:rPr>
          <w:b/>
        </w:rPr>
      </w:pPr>
      <w:r w:rsidRPr="00FD3168">
        <w:rPr>
          <w:b/>
        </w:rPr>
        <w:t>Pomocné látky</w:t>
      </w:r>
      <w:r w:rsidR="00204EDF" w:rsidRPr="00FD3168">
        <w:rPr>
          <w:b/>
        </w:rPr>
        <w:t>:</w:t>
      </w:r>
    </w:p>
    <w:p w14:paraId="1F0091B8" w14:textId="77777777" w:rsidR="00204EDF" w:rsidRPr="00FD3168" w:rsidRDefault="00204EDF" w:rsidP="00204EDF">
      <w:pPr>
        <w:tabs>
          <w:tab w:val="left" w:leader="dot" w:pos="6237"/>
        </w:tabs>
        <w:jc w:val="both"/>
        <w:rPr>
          <w:sz w:val="24"/>
        </w:rPr>
      </w:pPr>
      <w:proofErr w:type="spellStart"/>
      <w:r w:rsidRPr="00FD3168">
        <w:rPr>
          <w:szCs w:val="22"/>
        </w:rPr>
        <w:t>Methylparaben</w:t>
      </w:r>
      <w:proofErr w:type="spellEnd"/>
      <w:r w:rsidRPr="00FD3168">
        <w:rPr>
          <w:szCs w:val="22"/>
        </w:rPr>
        <w:t xml:space="preserve"> </w:t>
      </w:r>
      <w:r w:rsidRPr="00FD3168">
        <w:rPr>
          <w:sz w:val="24"/>
        </w:rPr>
        <w:t xml:space="preserve">(E-218) </w:t>
      </w:r>
      <w:r w:rsidRPr="00FD3168">
        <w:rPr>
          <w:sz w:val="24"/>
        </w:rPr>
        <w:tab/>
        <w:t>3,6 mg</w:t>
      </w:r>
    </w:p>
    <w:p w14:paraId="73E301DA" w14:textId="1C309E67" w:rsidR="00204EDF" w:rsidRPr="00FD3168" w:rsidRDefault="00204EDF" w:rsidP="00204EDF">
      <w:pPr>
        <w:tabs>
          <w:tab w:val="left" w:leader="dot" w:pos="6237"/>
        </w:tabs>
        <w:jc w:val="both"/>
        <w:rPr>
          <w:sz w:val="24"/>
        </w:rPr>
      </w:pPr>
      <w:proofErr w:type="spellStart"/>
      <w:proofErr w:type="gramStart"/>
      <w:r w:rsidRPr="00FD3168">
        <w:rPr>
          <w:szCs w:val="22"/>
        </w:rPr>
        <w:t>Propylparaben</w:t>
      </w:r>
      <w:proofErr w:type="spellEnd"/>
      <w:r w:rsidRPr="00FD3168">
        <w:rPr>
          <w:sz w:val="24"/>
        </w:rPr>
        <w:t xml:space="preserve">  </w:t>
      </w:r>
      <w:r w:rsidRPr="00FD3168">
        <w:rPr>
          <w:sz w:val="24"/>
        </w:rPr>
        <w:tab/>
      </w:r>
      <w:proofErr w:type="gramEnd"/>
      <w:r w:rsidRPr="00FD3168">
        <w:rPr>
          <w:sz w:val="24"/>
        </w:rPr>
        <w:t>2 mg</w:t>
      </w:r>
    </w:p>
    <w:p w14:paraId="66CB095F" w14:textId="77777777" w:rsidR="00204EDF" w:rsidRPr="00FD3168" w:rsidRDefault="00204EDF"/>
    <w:p w14:paraId="1633610C" w14:textId="77777777" w:rsidR="00270E41" w:rsidRPr="00FD3168" w:rsidRDefault="00270E41" w:rsidP="00270E41">
      <w:pPr>
        <w:rPr>
          <w:szCs w:val="22"/>
          <w:lang w:eastAsia="sv-SE"/>
        </w:rPr>
      </w:pPr>
    </w:p>
    <w:p w14:paraId="4C1ED38A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4.</w:t>
      </w:r>
      <w:r w:rsidRPr="00FD3168">
        <w:rPr>
          <w:b/>
          <w:bCs/>
          <w:szCs w:val="22"/>
          <w:lang w:eastAsia="sv-SE"/>
        </w:rPr>
        <w:tab/>
        <w:t>Léková forma</w:t>
      </w:r>
    </w:p>
    <w:p w14:paraId="55A6283A" w14:textId="77777777" w:rsidR="00270E41" w:rsidRPr="00FD3168" w:rsidRDefault="00270E41" w:rsidP="00270E41">
      <w:pPr>
        <w:rPr>
          <w:i/>
        </w:rPr>
      </w:pPr>
    </w:p>
    <w:p w14:paraId="626223C4" w14:textId="4D096481" w:rsidR="00204EDF" w:rsidRPr="00FD3168" w:rsidRDefault="00C1798B">
      <w:r w:rsidRPr="00FD3168">
        <w:t xml:space="preserve">Léčivá </w:t>
      </w:r>
      <w:r w:rsidR="00204EDF" w:rsidRPr="00FD3168">
        <w:t>hubka.</w:t>
      </w:r>
    </w:p>
    <w:p w14:paraId="6A030937" w14:textId="77777777" w:rsidR="00554D84" w:rsidRPr="00FD3168" w:rsidRDefault="00554D84"/>
    <w:p w14:paraId="11857C38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48FB1FC6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5.</w:t>
      </w:r>
      <w:r w:rsidRPr="00FD3168">
        <w:rPr>
          <w:b/>
          <w:bCs/>
          <w:szCs w:val="22"/>
          <w:lang w:eastAsia="sv-SE"/>
        </w:rPr>
        <w:tab/>
        <w:t>Velikost balení</w:t>
      </w:r>
    </w:p>
    <w:p w14:paraId="64FEC7F1" w14:textId="77777777" w:rsidR="00204EDF" w:rsidRPr="00FD3168" w:rsidRDefault="00204EDF"/>
    <w:p w14:paraId="1D4960AA" w14:textId="77777777" w:rsidR="00204EDF" w:rsidRPr="00FD3168" w:rsidRDefault="00204EDF">
      <w:r w:rsidRPr="00FD3168">
        <w:t>25 hubek</w:t>
      </w:r>
    </w:p>
    <w:p w14:paraId="230E13C1" w14:textId="77777777" w:rsidR="00554D84" w:rsidRPr="00FD3168" w:rsidRDefault="00554D84"/>
    <w:p w14:paraId="6E189D37" w14:textId="77777777" w:rsidR="00270E41" w:rsidRPr="00FD3168" w:rsidRDefault="00270E41"/>
    <w:p w14:paraId="41543979" w14:textId="77777777" w:rsidR="00270E41" w:rsidRPr="00FD3168" w:rsidRDefault="00270E41" w:rsidP="00270E41">
      <w:pPr>
        <w:tabs>
          <w:tab w:val="left" w:pos="567"/>
        </w:tabs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6. </w:t>
      </w:r>
      <w:r w:rsidRPr="00FD3168">
        <w:rPr>
          <w:b/>
          <w:bCs/>
          <w:szCs w:val="22"/>
          <w:lang w:eastAsia="sv-SE"/>
        </w:rPr>
        <w:tab/>
        <w:t>Indikace</w:t>
      </w:r>
    </w:p>
    <w:p w14:paraId="572D9F69" w14:textId="77777777" w:rsidR="00554D84" w:rsidRPr="00FD3168" w:rsidRDefault="00554D84"/>
    <w:p w14:paraId="0C4971CA" w14:textId="6489E47C" w:rsidR="00204EDF" w:rsidRPr="00FD3168" w:rsidRDefault="00204EDF" w:rsidP="00204EDF">
      <w:pPr>
        <w:ind w:left="0" w:firstLine="0"/>
      </w:pPr>
      <w:r w:rsidRPr="00FD3168">
        <w:t>Bahnice: Indukce a synchronizace říje během období př</w:t>
      </w:r>
      <w:r w:rsidR="00FD3168">
        <w:t>i</w:t>
      </w:r>
      <w:r w:rsidRPr="00FD3168">
        <w:t>pouštění i mimo něj. V době mimo období říje OVIGEST používejte v kombinaci s PMSG (sérový gonadotropin březích klisen) ke stimulaci ovulace.</w:t>
      </w:r>
    </w:p>
    <w:p w14:paraId="4C808BA3" w14:textId="77777777" w:rsidR="00270E41" w:rsidRPr="00FD3168" w:rsidRDefault="00270E41" w:rsidP="00270E41">
      <w:pPr>
        <w:tabs>
          <w:tab w:val="left" w:pos="567"/>
        </w:tabs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lastRenderedPageBreak/>
        <w:t xml:space="preserve">7. </w:t>
      </w:r>
      <w:r w:rsidRPr="00FD3168">
        <w:rPr>
          <w:b/>
          <w:bCs/>
          <w:szCs w:val="22"/>
          <w:lang w:eastAsia="sv-SE"/>
        </w:rPr>
        <w:tab/>
        <w:t>Kontraindikace</w:t>
      </w:r>
    </w:p>
    <w:p w14:paraId="7A79CF91" w14:textId="77777777" w:rsidR="00432909" w:rsidRPr="00FD3168" w:rsidRDefault="00432909"/>
    <w:p w14:paraId="2E1CE856" w14:textId="77777777" w:rsidR="00432909" w:rsidRPr="00FD3168" w:rsidRDefault="00432909" w:rsidP="00432909">
      <w:pPr>
        <w:jc w:val="both"/>
        <w:rPr>
          <w:sz w:val="24"/>
        </w:rPr>
      </w:pPr>
      <w:r w:rsidRPr="00FD3168">
        <w:t xml:space="preserve">Nepoužívat v případě přecitlivělosti na </w:t>
      </w:r>
      <w:proofErr w:type="spellStart"/>
      <w:r w:rsidRPr="00FD3168">
        <w:rPr>
          <w:sz w:val="24"/>
        </w:rPr>
        <w:t>medroxyprogesteron</w:t>
      </w:r>
      <w:proofErr w:type="spellEnd"/>
      <w:r w:rsidRPr="00FD3168">
        <w:rPr>
          <w:sz w:val="24"/>
        </w:rPr>
        <w:t>.</w:t>
      </w:r>
    </w:p>
    <w:p w14:paraId="2609EC0F" w14:textId="77777777" w:rsidR="00432909" w:rsidRPr="00FD3168" w:rsidRDefault="00432909" w:rsidP="00432909">
      <w:pPr>
        <w:jc w:val="both"/>
        <w:rPr>
          <w:szCs w:val="22"/>
        </w:rPr>
      </w:pPr>
      <w:r w:rsidRPr="00FD3168">
        <w:rPr>
          <w:szCs w:val="22"/>
        </w:rPr>
        <w:t>Nepoužívat u březích bahnic</w:t>
      </w:r>
    </w:p>
    <w:p w14:paraId="65B1B37E" w14:textId="77777777" w:rsidR="00432909" w:rsidRPr="00FD3168" w:rsidRDefault="00432909" w:rsidP="00432909">
      <w:pPr>
        <w:jc w:val="both"/>
        <w:rPr>
          <w:szCs w:val="22"/>
        </w:rPr>
      </w:pPr>
      <w:r w:rsidRPr="00FD3168">
        <w:rPr>
          <w:szCs w:val="22"/>
        </w:rPr>
        <w:t>Nepoužívat u neplodných a pohlavně nedospělých bahnic.</w:t>
      </w:r>
    </w:p>
    <w:p w14:paraId="6D3FE3E1" w14:textId="74F68900" w:rsidR="00432909" w:rsidRPr="00FD3168" w:rsidRDefault="00432909" w:rsidP="00432909">
      <w:pPr>
        <w:ind w:left="0" w:firstLine="0"/>
        <w:jc w:val="both"/>
        <w:rPr>
          <w:szCs w:val="22"/>
        </w:rPr>
      </w:pPr>
      <w:r w:rsidRPr="00FD3168">
        <w:rPr>
          <w:szCs w:val="22"/>
        </w:rPr>
        <w:t xml:space="preserve">Nepoužívat u bahnic s vaginálním </w:t>
      </w:r>
      <w:r w:rsidR="00FD3168" w:rsidRPr="00FD3168">
        <w:rPr>
          <w:szCs w:val="22"/>
        </w:rPr>
        <w:t>výtokem, které</w:t>
      </w:r>
      <w:r w:rsidRPr="00FD3168">
        <w:rPr>
          <w:szCs w:val="22"/>
        </w:rPr>
        <w:t xml:space="preserve"> nedávno zmetaly nebo jsou nemocné.</w:t>
      </w:r>
    </w:p>
    <w:p w14:paraId="47161949" w14:textId="77777777" w:rsidR="00432909" w:rsidRPr="00FD3168" w:rsidRDefault="00432909"/>
    <w:p w14:paraId="35D4EAC0" w14:textId="29F78D1B" w:rsidR="00270E41" w:rsidRPr="00FD3168" w:rsidRDefault="00270E41"/>
    <w:p w14:paraId="443E8A70" w14:textId="77777777" w:rsidR="00DA0FC5" w:rsidRPr="00FD3168" w:rsidRDefault="00270E41">
      <w:r w:rsidRPr="00FD3168">
        <w:rPr>
          <w:b/>
          <w:bCs/>
          <w:color w:val="000000"/>
          <w:szCs w:val="22"/>
          <w:lang w:eastAsia="sv-SE"/>
        </w:rPr>
        <w:t xml:space="preserve">8. </w:t>
      </w:r>
      <w:r w:rsidRPr="00FD3168">
        <w:rPr>
          <w:b/>
          <w:bCs/>
          <w:color w:val="000000"/>
          <w:szCs w:val="22"/>
          <w:lang w:eastAsia="sv-SE"/>
        </w:rPr>
        <w:tab/>
        <w:t>Nežádoucí účinky</w:t>
      </w:r>
    </w:p>
    <w:p w14:paraId="2E51B77E" w14:textId="77777777" w:rsidR="00270E41" w:rsidRPr="00FD3168" w:rsidRDefault="00270E41" w:rsidP="00DA0FC5">
      <w:pPr>
        <w:ind w:left="0" w:firstLine="0"/>
        <w:jc w:val="both"/>
        <w:rPr>
          <w:szCs w:val="22"/>
        </w:rPr>
      </w:pPr>
    </w:p>
    <w:p w14:paraId="0FF91739" w14:textId="63F516A9" w:rsidR="00DA0FC5" w:rsidRPr="00FD3168" w:rsidRDefault="003A1A62" w:rsidP="00DA0FC5">
      <w:pPr>
        <w:ind w:left="0" w:firstLine="0"/>
        <w:jc w:val="both"/>
        <w:rPr>
          <w:szCs w:val="22"/>
        </w:rPr>
      </w:pPr>
      <w:r w:rsidRPr="00FD3168">
        <w:t xml:space="preserve">Velmi </w:t>
      </w:r>
      <w:r w:rsidR="005E3370" w:rsidRPr="00FD3168">
        <w:t>vzácně</w:t>
      </w:r>
      <w:r w:rsidR="00DA0FC5" w:rsidRPr="00FD3168">
        <w:rPr>
          <w:szCs w:val="22"/>
        </w:rPr>
        <w:t xml:space="preserve"> vaginitid</w:t>
      </w:r>
      <w:r w:rsidR="005E3370" w:rsidRPr="00FD3168">
        <w:rPr>
          <w:szCs w:val="22"/>
        </w:rPr>
        <w:t>a</w:t>
      </w:r>
      <w:r w:rsidR="00DA0FC5" w:rsidRPr="00FD3168">
        <w:rPr>
          <w:szCs w:val="22"/>
        </w:rPr>
        <w:t>, zesílení vaginálního výtoku</w:t>
      </w:r>
      <w:r w:rsidR="009D390F">
        <w:rPr>
          <w:szCs w:val="22"/>
        </w:rPr>
        <w:t>,</w:t>
      </w:r>
      <w:r w:rsidR="00DA0FC5" w:rsidRPr="00FD3168">
        <w:rPr>
          <w:szCs w:val="22"/>
        </w:rPr>
        <w:t xml:space="preserve"> popř. přichycení hubky na sliznici. </w:t>
      </w:r>
    </w:p>
    <w:p w14:paraId="61FC8CE5" w14:textId="77777777" w:rsidR="0053744D" w:rsidRPr="00FD3168" w:rsidRDefault="0053744D" w:rsidP="00DA0FC5">
      <w:pPr>
        <w:ind w:left="0" w:firstLine="0"/>
        <w:jc w:val="both"/>
        <w:rPr>
          <w:szCs w:val="22"/>
        </w:rPr>
      </w:pPr>
    </w:p>
    <w:p w14:paraId="30B606F5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  <w:r w:rsidRPr="00FD3168">
        <w:rPr>
          <w:color w:val="000000"/>
          <w:szCs w:val="22"/>
          <w:lang w:eastAsia="sv-SE"/>
        </w:rPr>
        <w:t>Četnost nežádoucích účinků je charakterizována podle následujících pravidel:</w:t>
      </w:r>
    </w:p>
    <w:p w14:paraId="5235AFB5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</w:p>
    <w:p w14:paraId="70A29043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  <w:r w:rsidRPr="00FD3168">
        <w:rPr>
          <w:color w:val="000000"/>
          <w:szCs w:val="22"/>
          <w:lang w:eastAsia="sv-SE"/>
        </w:rPr>
        <w:t>- velmi časté (nežádoucí účinek(</w:t>
      </w:r>
      <w:proofErr w:type="spellStart"/>
      <w:r w:rsidRPr="00FD3168">
        <w:rPr>
          <w:color w:val="000000"/>
          <w:szCs w:val="22"/>
          <w:lang w:eastAsia="sv-SE"/>
        </w:rPr>
        <w:t>nky</w:t>
      </w:r>
      <w:proofErr w:type="spellEnd"/>
      <w:r w:rsidRPr="00FD3168">
        <w:rPr>
          <w:color w:val="000000"/>
          <w:szCs w:val="22"/>
          <w:lang w:eastAsia="sv-SE"/>
        </w:rPr>
        <w:t>) se projevil(y) u více než 1 z 10 ošetřených zvířat)</w:t>
      </w:r>
    </w:p>
    <w:p w14:paraId="27854E8E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  <w:r w:rsidRPr="00FD3168">
        <w:rPr>
          <w:color w:val="000000"/>
          <w:szCs w:val="22"/>
          <w:lang w:eastAsia="sv-SE"/>
        </w:rPr>
        <w:t>- časté (u více než 1, ale méně než 10 ze 100 ošetřených zvířat)</w:t>
      </w:r>
    </w:p>
    <w:p w14:paraId="40236CEF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  <w:r w:rsidRPr="00FD3168">
        <w:rPr>
          <w:color w:val="000000"/>
          <w:szCs w:val="22"/>
          <w:lang w:eastAsia="sv-SE"/>
        </w:rPr>
        <w:t>- neobvyklé (u více než 1, ale méně než 10 z 1000 ošetřených zvířat)</w:t>
      </w:r>
    </w:p>
    <w:p w14:paraId="2A16F460" w14:textId="5A3F04D2" w:rsidR="0053744D" w:rsidRPr="00FD3168" w:rsidRDefault="0053744D" w:rsidP="0053744D">
      <w:pPr>
        <w:rPr>
          <w:color w:val="000000"/>
          <w:szCs w:val="22"/>
          <w:lang w:eastAsia="sv-SE"/>
        </w:rPr>
      </w:pPr>
      <w:r w:rsidRPr="00FD3168">
        <w:rPr>
          <w:color w:val="000000"/>
          <w:szCs w:val="22"/>
          <w:lang w:eastAsia="sv-SE"/>
        </w:rPr>
        <w:t>- vzácné (u více než 1, ale méně než 10 z 10000 ošetřených zvířat)</w:t>
      </w:r>
    </w:p>
    <w:p w14:paraId="4DA9E1C3" w14:textId="77777777" w:rsidR="0053744D" w:rsidRPr="00FD3168" w:rsidRDefault="0053744D" w:rsidP="0053744D">
      <w:pPr>
        <w:ind w:left="0" w:firstLine="0"/>
        <w:jc w:val="both"/>
        <w:rPr>
          <w:szCs w:val="22"/>
        </w:rPr>
      </w:pPr>
      <w:r w:rsidRPr="00FD3168">
        <w:rPr>
          <w:color w:val="000000"/>
          <w:szCs w:val="22"/>
          <w:lang w:eastAsia="sv-SE"/>
        </w:rPr>
        <w:t>- velmi vzácné (u méně než 1 z 10000 ošetřených zvířat, včetně ojedinělých hlášení).</w:t>
      </w:r>
    </w:p>
    <w:p w14:paraId="0946DC58" w14:textId="77777777" w:rsidR="0053744D" w:rsidRPr="00FD3168" w:rsidRDefault="0053744D" w:rsidP="00DA0FC5">
      <w:pPr>
        <w:ind w:left="0" w:firstLine="0"/>
        <w:jc w:val="both"/>
        <w:rPr>
          <w:szCs w:val="22"/>
        </w:rPr>
      </w:pPr>
    </w:p>
    <w:p w14:paraId="634CFF4B" w14:textId="7B22F963" w:rsidR="00C662E8" w:rsidRPr="00FD3168" w:rsidRDefault="00C662E8" w:rsidP="00C662E8">
      <w:pPr>
        <w:ind w:left="0" w:firstLine="0"/>
      </w:pPr>
      <w:r w:rsidRPr="00FD3168">
        <w:t>Jestliže zaznamenáte kterýkoliv z nežádoucích účinků</w:t>
      </w:r>
      <w:r w:rsidR="009D390F">
        <w:t>,</w:t>
      </w:r>
      <w:r w:rsidRPr="00FD3168">
        <w:t xml:space="preserve"> a to i takové, které nejsou uvedeny v této příbalové informaci, nebo si myslíte, že léčivo ne</w:t>
      </w:r>
      <w:r w:rsidR="005E3370" w:rsidRPr="00FD3168">
        <w:t>ní účinné</w:t>
      </w:r>
      <w:r w:rsidRPr="00FD3168">
        <w:t>, oznamte to, prosím, vašemu veterinárnímu lékaři.</w:t>
      </w:r>
    </w:p>
    <w:p w14:paraId="0B0EFA04" w14:textId="77777777" w:rsidR="0053744D" w:rsidRPr="00FD3168" w:rsidRDefault="0053744D">
      <w:pPr>
        <w:rPr>
          <w:color w:val="000000"/>
        </w:rPr>
      </w:pPr>
    </w:p>
    <w:p w14:paraId="543E8F1F" w14:textId="77777777" w:rsidR="00E92CA9" w:rsidRPr="00FD3168" w:rsidRDefault="00E92CA9" w:rsidP="0053744D">
      <w:pPr>
        <w:ind w:left="0" w:firstLine="0"/>
      </w:pPr>
      <w:r w:rsidRPr="00FD3168">
        <w:t xml:space="preserve">Nežádoucí účinky můžete hlásit prostřednictvím formuláře na webových stránkách ÚSKVBL elektronicky, nebo také přímo na adresu: Ústav pro státní kontrolu veterinárních biopreparátů a léčiv, Hudcova </w:t>
      </w:r>
      <w:proofErr w:type="gramStart"/>
      <w:r w:rsidRPr="00FD3168">
        <w:t>56a</w:t>
      </w:r>
      <w:proofErr w:type="gramEnd"/>
      <w:r w:rsidRPr="00FD3168">
        <w:t xml:space="preserve">, 621 00 Brno, Mail: </w:t>
      </w:r>
      <w:hyperlink r:id="rId7" w:history="1">
        <w:r w:rsidRPr="00FD3168">
          <w:rPr>
            <w:rStyle w:val="Hypertextovodkaz"/>
          </w:rPr>
          <w:t>adr@uskvbl.cz</w:t>
        </w:r>
      </w:hyperlink>
      <w:r w:rsidRPr="00FD3168">
        <w:t xml:space="preserve">, Webové stránky: </w:t>
      </w:r>
      <w:hyperlink r:id="rId8" w:history="1">
        <w:r w:rsidRPr="00FD3168">
          <w:rPr>
            <w:rStyle w:val="Hypertextovodkaz"/>
          </w:rPr>
          <w:t>http://www.uskvbl.cz/cs/farmakovigilance</w:t>
        </w:r>
      </w:hyperlink>
    </w:p>
    <w:p w14:paraId="2DA6CADB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72C1000F" w14:textId="77777777" w:rsidR="0053744D" w:rsidRPr="00FD3168" w:rsidRDefault="0053744D" w:rsidP="00270E41">
      <w:pPr>
        <w:rPr>
          <w:i/>
          <w:iCs/>
          <w:szCs w:val="22"/>
          <w:lang w:eastAsia="sv-SE"/>
        </w:rPr>
      </w:pPr>
    </w:p>
    <w:p w14:paraId="712C2ABE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9.</w:t>
      </w:r>
      <w:r w:rsidRPr="00FD3168">
        <w:rPr>
          <w:b/>
          <w:bCs/>
          <w:szCs w:val="22"/>
          <w:lang w:eastAsia="sv-SE"/>
        </w:rPr>
        <w:tab/>
        <w:t>Cílový druh zvířat</w:t>
      </w:r>
    </w:p>
    <w:p w14:paraId="4670BF6C" w14:textId="77777777" w:rsidR="00270E41" w:rsidRPr="00FD3168" w:rsidRDefault="00270E41" w:rsidP="00270E41">
      <w:pPr>
        <w:rPr>
          <w:i/>
        </w:rPr>
      </w:pPr>
    </w:p>
    <w:p w14:paraId="6E6C6A93" w14:textId="3308D316" w:rsidR="00DA0FC5" w:rsidRPr="00FD3168" w:rsidRDefault="00DA0FC5" w:rsidP="00DA0FC5">
      <w:pPr>
        <w:rPr>
          <w:szCs w:val="22"/>
        </w:rPr>
      </w:pPr>
      <w:r w:rsidRPr="00FD3168">
        <w:rPr>
          <w:szCs w:val="22"/>
        </w:rPr>
        <w:t>Ovce</w:t>
      </w:r>
      <w:r w:rsidR="00E92CA9" w:rsidRPr="00FD3168">
        <w:rPr>
          <w:szCs w:val="22"/>
        </w:rPr>
        <w:t xml:space="preserve"> (</w:t>
      </w:r>
      <w:r w:rsidRPr="00FD3168">
        <w:rPr>
          <w:szCs w:val="22"/>
        </w:rPr>
        <w:t>bahnice</w:t>
      </w:r>
      <w:r w:rsidR="00E92CA9" w:rsidRPr="00FD3168">
        <w:rPr>
          <w:szCs w:val="22"/>
        </w:rPr>
        <w:t>)</w:t>
      </w:r>
    </w:p>
    <w:p w14:paraId="50416929" w14:textId="77777777" w:rsidR="00270E41" w:rsidRPr="00FD3168" w:rsidRDefault="00270E41" w:rsidP="00DA0FC5">
      <w:pPr>
        <w:rPr>
          <w:szCs w:val="22"/>
        </w:rPr>
      </w:pPr>
    </w:p>
    <w:p w14:paraId="786C2920" w14:textId="77777777" w:rsidR="00DA0FC5" w:rsidRPr="00FD3168" w:rsidRDefault="00DA0FC5" w:rsidP="00270E41">
      <w:pPr>
        <w:ind w:left="0" w:firstLine="0"/>
        <w:jc w:val="both"/>
        <w:rPr>
          <w:szCs w:val="22"/>
        </w:rPr>
      </w:pPr>
    </w:p>
    <w:p w14:paraId="6872ABA8" w14:textId="77777777" w:rsidR="00270E41" w:rsidRPr="00FD3168" w:rsidRDefault="00270E41" w:rsidP="00270E41">
      <w:pP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10. </w:t>
      </w:r>
      <w:r w:rsidRPr="00FD3168">
        <w:rPr>
          <w:b/>
          <w:bCs/>
          <w:szCs w:val="22"/>
          <w:lang w:eastAsia="sv-SE"/>
        </w:rPr>
        <w:tab/>
        <w:t>Dávkování pro každý druh, cesta(y) a způsob podání</w:t>
      </w:r>
    </w:p>
    <w:p w14:paraId="12302FC4" w14:textId="77777777" w:rsidR="00DA0FC5" w:rsidRPr="00FD3168" w:rsidRDefault="00DA0FC5" w:rsidP="008854D5">
      <w:pPr>
        <w:ind w:left="0" w:firstLine="0"/>
        <w:jc w:val="both"/>
        <w:rPr>
          <w:szCs w:val="22"/>
        </w:rPr>
      </w:pPr>
    </w:p>
    <w:p w14:paraId="5DA51C9C" w14:textId="77777777" w:rsidR="004F705B" w:rsidRPr="00FD3168" w:rsidRDefault="004F705B" w:rsidP="004F705B">
      <w:pPr>
        <w:ind w:left="0" w:firstLine="0"/>
        <w:jc w:val="both"/>
      </w:pPr>
      <w:r w:rsidRPr="00FD3168">
        <w:t>Vaginální podání.</w:t>
      </w:r>
    </w:p>
    <w:p w14:paraId="22478589" w14:textId="77777777" w:rsidR="0053744D" w:rsidRPr="00FD3168" w:rsidRDefault="0053744D" w:rsidP="004F705B">
      <w:pPr>
        <w:ind w:left="0" w:firstLine="0"/>
        <w:jc w:val="both"/>
        <w:rPr>
          <w:sz w:val="24"/>
          <w:szCs w:val="24"/>
        </w:rPr>
      </w:pPr>
    </w:p>
    <w:p w14:paraId="2CDA8BB9" w14:textId="77777777" w:rsidR="004F705B" w:rsidRPr="00FD3168" w:rsidRDefault="004F705B" w:rsidP="004F705B">
      <w:pPr>
        <w:ind w:left="0" w:firstLine="0"/>
        <w:jc w:val="both"/>
        <w:rPr>
          <w:szCs w:val="22"/>
        </w:rPr>
      </w:pPr>
      <w:r w:rsidRPr="00FD3168">
        <w:rPr>
          <w:szCs w:val="22"/>
        </w:rPr>
        <w:t xml:space="preserve">Bahnice: 1 hubka/pro toto. </w:t>
      </w:r>
    </w:p>
    <w:p w14:paraId="572EFF76" w14:textId="77777777" w:rsidR="00D01031" w:rsidRPr="00FD3168" w:rsidRDefault="00D01031" w:rsidP="004F705B">
      <w:pPr>
        <w:ind w:left="0" w:firstLine="0"/>
        <w:jc w:val="both"/>
        <w:rPr>
          <w:szCs w:val="22"/>
        </w:rPr>
      </w:pPr>
    </w:p>
    <w:p w14:paraId="410B481B" w14:textId="77777777" w:rsidR="00F03B80" w:rsidRPr="00FD3168" w:rsidRDefault="00F03B80" w:rsidP="004F705B">
      <w:pPr>
        <w:ind w:left="0" w:firstLine="0"/>
        <w:jc w:val="both"/>
        <w:rPr>
          <w:szCs w:val="22"/>
        </w:rPr>
      </w:pPr>
    </w:p>
    <w:p w14:paraId="68D9FF69" w14:textId="77777777" w:rsidR="00D01031" w:rsidRPr="00FD3168" w:rsidRDefault="00270E41">
      <w:pPr>
        <w:rPr>
          <w:b/>
          <w:b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11. </w:t>
      </w:r>
      <w:r w:rsidRPr="00FD3168">
        <w:rPr>
          <w:b/>
          <w:bCs/>
          <w:szCs w:val="22"/>
          <w:lang w:eastAsia="sv-SE"/>
        </w:rPr>
        <w:tab/>
        <w:t>Pokyny pro správné podání</w:t>
      </w:r>
    </w:p>
    <w:p w14:paraId="0E28438D" w14:textId="77777777" w:rsidR="00270E41" w:rsidRPr="00FD3168" w:rsidRDefault="00270E41"/>
    <w:p w14:paraId="39B43AFC" w14:textId="77777777" w:rsidR="00D01031" w:rsidRPr="00FD3168" w:rsidRDefault="00D01031" w:rsidP="00D01031">
      <w:pPr>
        <w:ind w:left="0" w:firstLine="0"/>
        <w:jc w:val="both"/>
        <w:rPr>
          <w:szCs w:val="22"/>
        </w:rPr>
      </w:pPr>
      <w:r w:rsidRPr="00FD3168">
        <w:rPr>
          <w:szCs w:val="22"/>
        </w:rPr>
        <w:t>Očistěte vulvu bahnice. Opatrně zaveďte jednu hubku do vaginy pomocí dezinfikovaného aplikátoru.</w:t>
      </w:r>
    </w:p>
    <w:p w14:paraId="5247A951" w14:textId="77777777" w:rsidR="0053744D" w:rsidRPr="00FD3168" w:rsidRDefault="0053744D" w:rsidP="00D01031">
      <w:pPr>
        <w:ind w:left="0" w:firstLine="0"/>
        <w:jc w:val="both"/>
        <w:rPr>
          <w:szCs w:val="22"/>
        </w:rPr>
      </w:pPr>
    </w:p>
    <w:p w14:paraId="2237651D" w14:textId="77777777" w:rsidR="00D01031" w:rsidRPr="00FD3168" w:rsidRDefault="00D01031" w:rsidP="00D01031">
      <w:pPr>
        <w:ind w:left="0" w:firstLine="0"/>
        <w:jc w:val="both"/>
        <w:rPr>
          <w:szCs w:val="22"/>
        </w:rPr>
      </w:pPr>
      <w:r w:rsidRPr="00FD3168">
        <w:rPr>
          <w:szCs w:val="22"/>
        </w:rPr>
        <w:t>Vytáhněte aplikátor a nechte šňůrku viset ven z pochvy.</w:t>
      </w:r>
    </w:p>
    <w:p w14:paraId="422ED776" w14:textId="77777777" w:rsidR="0053744D" w:rsidRPr="00FD3168" w:rsidRDefault="0053744D" w:rsidP="00D01031">
      <w:pPr>
        <w:ind w:left="0" w:firstLine="0"/>
        <w:jc w:val="both"/>
        <w:rPr>
          <w:szCs w:val="22"/>
        </w:rPr>
      </w:pPr>
    </w:p>
    <w:p w14:paraId="1A0CA01D" w14:textId="77777777" w:rsidR="00D01031" w:rsidRPr="00FD3168" w:rsidRDefault="00D01031" w:rsidP="00D01031">
      <w:pPr>
        <w:ind w:left="0" w:firstLine="0"/>
        <w:jc w:val="both"/>
        <w:rPr>
          <w:szCs w:val="22"/>
        </w:rPr>
      </w:pPr>
      <w:r w:rsidRPr="00FD3168">
        <w:rPr>
          <w:szCs w:val="22"/>
        </w:rPr>
        <w:t>Aplikátor očistěte po každém zavedení.</w:t>
      </w:r>
    </w:p>
    <w:p w14:paraId="71672EA1" w14:textId="77777777" w:rsidR="0053744D" w:rsidRPr="00FD3168" w:rsidRDefault="0053744D" w:rsidP="00D01031">
      <w:pPr>
        <w:ind w:left="0" w:firstLine="0"/>
        <w:jc w:val="both"/>
        <w:rPr>
          <w:szCs w:val="22"/>
        </w:rPr>
      </w:pPr>
    </w:p>
    <w:p w14:paraId="1E74DC3D" w14:textId="77777777" w:rsidR="00D01031" w:rsidRPr="00FD3168" w:rsidRDefault="00D01031" w:rsidP="00D01031">
      <w:pPr>
        <w:rPr>
          <w:szCs w:val="22"/>
        </w:rPr>
      </w:pPr>
      <w:r w:rsidRPr="00FD3168">
        <w:rPr>
          <w:szCs w:val="22"/>
        </w:rPr>
        <w:t>Hubka musí v pochvě zůstat 12-14 dní.</w:t>
      </w:r>
    </w:p>
    <w:p w14:paraId="0431CC7B" w14:textId="77777777" w:rsidR="0053744D" w:rsidRPr="00FD3168" w:rsidRDefault="0053744D" w:rsidP="00D01031"/>
    <w:p w14:paraId="057E46A1" w14:textId="77777777" w:rsidR="00D01031" w:rsidRPr="00FD3168" w:rsidRDefault="00D01031" w:rsidP="00D01031">
      <w:pPr>
        <w:ind w:left="0" w:firstLine="0"/>
        <w:jc w:val="both"/>
        <w:rPr>
          <w:szCs w:val="22"/>
        </w:rPr>
      </w:pPr>
      <w:r w:rsidRPr="00FD3168">
        <w:rPr>
          <w:szCs w:val="22"/>
        </w:rPr>
        <w:t>Po tomto období hubku odstraňte jemným tahem za šňůrku.</w:t>
      </w:r>
    </w:p>
    <w:p w14:paraId="58684DF4" w14:textId="77777777" w:rsidR="0053744D" w:rsidRPr="00FD3168" w:rsidRDefault="0053744D" w:rsidP="00D01031">
      <w:pPr>
        <w:ind w:left="0" w:firstLine="0"/>
        <w:jc w:val="both"/>
        <w:rPr>
          <w:szCs w:val="22"/>
        </w:rPr>
      </w:pPr>
    </w:p>
    <w:p w14:paraId="34835DB6" w14:textId="77777777" w:rsidR="00D01031" w:rsidRPr="00FD3168" w:rsidRDefault="00D01031" w:rsidP="00D01031">
      <w:pPr>
        <w:ind w:left="0" w:firstLine="0"/>
        <w:jc w:val="both"/>
        <w:rPr>
          <w:szCs w:val="22"/>
        </w:rPr>
      </w:pPr>
      <w:r w:rsidRPr="00FD3168">
        <w:rPr>
          <w:szCs w:val="22"/>
        </w:rPr>
        <w:lastRenderedPageBreak/>
        <w:t>Při vyjímání hubky lze injek</w:t>
      </w:r>
      <w:r w:rsidRPr="00FD3168">
        <w:t>čn</w:t>
      </w:r>
      <w:r w:rsidRPr="00FD3168">
        <w:rPr>
          <w:szCs w:val="22"/>
        </w:rPr>
        <w:t>ě podat 500 IU PMSG ke stimulaci ovulace, zejména v době anestru. PMSG nesmí být injek</w:t>
      </w:r>
      <w:r w:rsidRPr="00FD3168">
        <w:t>čn</w:t>
      </w:r>
      <w:r w:rsidRPr="00FD3168">
        <w:rPr>
          <w:szCs w:val="22"/>
        </w:rPr>
        <w:t>ě podán před vyjmutím hubky a v průběhu 6 hodin po vyjmutím hubky (mohlo by dojít k oslabení ovulace).</w:t>
      </w:r>
      <w:r w:rsidRPr="00FD3168">
        <w:rPr>
          <w:szCs w:val="22"/>
        </w:rPr>
        <w:tab/>
      </w:r>
    </w:p>
    <w:p w14:paraId="2EAEE151" w14:textId="77777777" w:rsidR="0053744D" w:rsidRPr="00FD3168" w:rsidRDefault="0053744D" w:rsidP="00D01031">
      <w:pPr>
        <w:ind w:left="0" w:firstLine="0"/>
        <w:jc w:val="both"/>
        <w:rPr>
          <w:szCs w:val="22"/>
        </w:rPr>
      </w:pPr>
    </w:p>
    <w:p w14:paraId="06069DDF" w14:textId="77777777" w:rsidR="00D01031" w:rsidRPr="00FD3168" w:rsidRDefault="00D01031" w:rsidP="00D01031">
      <w:pPr>
        <w:autoSpaceDE w:val="0"/>
        <w:autoSpaceDN w:val="0"/>
        <w:adjustRightInd w:val="0"/>
        <w:ind w:left="0" w:firstLine="0"/>
        <w:jc w:val="both"/>
        <w:rPr>
          <w:szCs w:val="22"/>
          <w:lang w:eastAsia="es-ES"/>
        </w:rPr>
      </w:pPr>
      <w:r w:rsidRPr="00FD3168">
        <w:rPr>
          <w:szCs w:val="22"/>
          <w:lang w:eastAsia="es-ES"/>
        </w:rPr>
        <w:t>Bahnice lze připustit v době 24-72 hod. po vyjmutí hubky. V případě umělé inseminace tuto proveďte 56 hod. po vyjmutí hubky. Bahnice, které nezabřeznou během první říje, budou mít novou říji o 15-17 dní později. Druhou říji lze rovněž využít k připouštění.</w:t>
      </w:r>
    </w:p>
    <w:p w14:paraId="46E32564" w14:textId="77777777" w:rsidR="00D01031" w:rsidRPr="00FD3168" w:rsidRDefault="00D01031" w:rsidP="00D01031"/>
    <w:p w14:paraId="131E3BB5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09E54215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12. </w:t>
      </w:r>
      <w:r w:rsidRPr="00FD3168">
        <w:rPr>
          <w:b/>
          <w:bCs/>
          <w:szCs w:val="22"/>
          <w:lang w:eastAsia="sv-SE"/>
        </w:rPr>
        <w:tab/>
        <w:t>Ochranná(é) lhůta(y):</w:t>
      </w:r>
    </w:p>
    <w:p w14:paraId="3B24E35D" w14:textId="77777777" w:rsidR="00F44BB1" w:rsidRPr="00FD3168" w:rsidRDefault="00F44BB1" w:rsidP="00D01031"/>
    <w:p w14:paraId="1133486B" w14:textId="3EA8DFD4" w:rsidR="00F44BB1" w:rsidRPr="00FD3168" w:rsidRDefault="00F44BB1" w:rsidP="00F44BB1">
      <w:pPr>
        <w:autoSpaceDE w:val="0"/>
        <w:autoSpaceDN w:val="0"/>
        <w:adjustRightInd w:val="0"/>
        <w:ind w:left="0" w:firstLine="0"/>
        <w:rPr>
          <w:sz w:val="24"/>
        </w:rPr>
      </w:pPr>
      <w:r w:rsidRPr="00FD3168">
        <w:t>Maso</w:t>
      </w:r>
      <w:r w:rsidRPr="00FD3168">
        <w:rPr>
          <w:sz w:val="24"/>
        </w:rPr>
        <w:t xml:space="preserve">: 2 </w:t>
      </w:r>
      <w:r w:rsidRPr="00FD3168">
        <w:t>dny</w:t>
      </w:r>
      <w:r w:rsidRPr="00FD3168">
        <w:rPr>
          <w:sz w:val="24"/>
        </w:rPr>
        <w:t>.</w:t>
      </w:r>
    </w:p>
    <w:p w14:paraId="776DFE58" w14:textId="77777777" w:rsidR="00F44BB1" w:rsidRPr="00FD3168" w:rsidRDefault="00F44BB1" w:rsidP="00F44BB1">
      <w:pPr>
        <w:autoSpaceDE w:val="0"/>
        <w:autoSpaceDN w:val="0"/>
        <w:adjustRightInd w:val="0"/>
        <w:ind w:left="0" w:firstLine="0"/>
        <w:rPr>
          <w:color w:val="000000"/>
          <w:sz w:val="24"/>
          <w:lang w:eastAsia="fi-FI"/>
        </w:rPr>
      </w:pPr>
      <w:r w:rsidRPr="00FD3168">
        <w:t>Mléko</w:t>
      </w:r>
      <w:r w:rsidRPr="00FD3168">
        <w:rPr>
          <w:sz w:val="24"/>
        </w:rPr>
        <w:t xml:space="preserve">: </w:t>
      </w:r>
      <w:r w:rsidR="00CA406D" w:rsidRPr="00FD3168">
        <w:t>24 hodin</w:t>
      </w:r>
      <w:r w:rsidRPr="00FD3168">
        <w:rPr>
          <w:sz w:val="24"/>
        </w:rPr>
        <w:t>.</w:t>
      </w:r>
    </w:p>
    <w:p w14:paraId="51C36F21" w14:textId="77777777" w:rsidR="00D01031" w:rsidRPr="00FD3168" w:rsidRDefault="00D01031"/>
    <w:p w14:paraId="518B13E3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5F86CF91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13.</w:t>
      </w:r>
      <w:r w:rsidRPr="00FD3168">
        <w:rPr>
          <w:b/>
          <w:bCs/>
          <w:szCs w:val="22"/>
          <w:lang w:eastAsia="sv-SE"/>
        </w:rPr>
        <w:tab/>
        <w:t>Zvláštní podmínky pro uchovávání</w:t>
      </w:r>
    </w:p>
    <w:p w14:paraId="51D5E14A" w14:textId="77777777" w:rsidR="00270E41" w:rsidRPr="00FD3168" w:rsidRDefault="00270E41" w:rsidP="00270E41">
      <w:pPr>
        <w:rPr>
          <w:i/>
        </w:rPr>
      </w:pPr>
    </w:p>
    <w:p w14:paraId="1530B824" w14:textId="220E4486" w:rsidR="00241576" w:rsidRPr="00FD3168" w:rsidRDefault="00241576" w:rsidP="00241576">
      <w:r w:rsidRPr="00FD3168">
        <w:t>Uchovávat mimo do</w:t>
      </w:r>
      <w:r w:rsidR="004B5B07" w:rsidRPr="00FD3168">
        <w:t>hled a do</w:t>
      </w:r>
      <w:r w:rsidRPr="00FD3168">
        <w:t>sah dětí.</w:t>
      </w:r>
    </w:p>
    <w:p w14:paraId="0914F1E8" w14:textId="77777777" w:rsidR="00241576" w:rsidRPr="00FD3168" w:rsidRDefault="00241576" w:rsidP="00241576">
      <w:pPr>
        <w:ind w:right="-318"/>
      </w:pPr>
      <w:r w:rsidRPr="00FD3168">
        <w:t>Uchovávejte při teplotě do 25</w:t>
      </w:r>
      <w:r w:rsidR="00946F90" w:rsidRPr="00FD3168">
        <w:t xml:space="preserve"> </w:t>
      </w:r>
      <w:r w:rsidRPr="00FD3168">
        <w:rPr>
          <w:szCs w:val="22"/>
        </w:rPr>
        <w:sym w:font="Symbol" w:char="F0B0"/>
      </w:r>
      <w:r w:rsidRPr="00FD3168">
        <w:t>C.</w:t>
      </w:r>
    </w:p>
    <w:p w14:paraId="039106EF" w14:textId="27DA803A" w:rsidR="00241576" w:rsidRPr="00FD3168" w:rsidRDefault="00241576" w:rsidP="00241576">
      <w:pPr>
        <w:ind w:right="-318"/>
      </w:pPr>
      <w:r w:rsidRPr="00FD3168">
        <w:t xml:space="preserve">Uchovávejte přípravek v dobře uzavřeném </w:t>
      </w:r>
      <w:r w:rsidR="00CA406D" w:rsidRPr="00FD3168">
        <w:t>vaku,</w:t>
      </w:r>
      <w:r w:rsidRPr="00FD3168">
        <w:t xml:space="preserve"> aby byl chráněn před světlem</w:t>
      </w:r>
      <w:r w:rsidR="00C1798B" w:rsidRPr="00FD3168">
        <w:t>.</w:t>
      </w:r>
    </w:p>
    <w:p w14:paraId="6DC3B465" w14:textId="77777777" w:rsidR="00241576" w:rsidRPr="00FD3168" w:rsidRDefault="00241576" w:rsidP="00241576">
      <w:pPr>
        <w:ind w:left="0" w:right="-2" w:firstLine="0"/>
      </w:pPr>
      <w:r w:rsidRPr="00FD3168">
        <w:t>Nepoužívejte po uplynutí doby použitelnost</w:t>
      </w:r>
      <w:r w:rsidR="00CA406D" w:rsidRPr="00FD3168">
        <w:t>i</w:t>
      </w:r>
      <w:r w:rsidRPr="00FD3168">
        <w:t xml:space="preserve"> uvedené na </w:t>
      </w:r>
      <w:r w:rsidR="00CA406D" w:rsidRPr="00FD3168">
        <w:t>obalu</w:t>
      </w:r>
      <w:r w:rsidRPr="00FD3168">
        <w:t xml:space="preserve">. </w:t>
      </w:r>
    </w:p>
    <w:p w14:paraId="07EC8207" w14:textId="77777777" w:rsidR="00241576" w:rsidRPr="00FD3168" w:rsidRDefault="00241576" w:rsidP="00241576">
      <w:pPr>
        <w:ind w:left="0" w:right="-2" w:firstLine="0"/>
      </w:pPr>
      <w:r w:rsidRPr="00FD3168">
        <w:t>Po prvním otevření spotřebujte do 6 měsíců.</w:t>
      </w:r>
      <w:bookmarkStart w:id="0" w:name="_GoBack"/>
      <w:bookmarkEnd w:id="0"/>
    </w:p>
    <w:p w14:paraId="1744F96C" w14:textId="77777777" w:rsidR="00241576" w:rsidRPr="00FD3168" w:rsidRDefault="00241576"/>
    <w:p w14:paraId="4C216486" w14:textId="77777777" w:rsidR="00270E41" w:rsidRPr="00FD3168" w:rsidRDefault="00270E41"/>
    <w:p w14:paraId="381A3CAD" w14:textId="77777777" w:rsidR="00270E41" w:rsidRPr="00FD3168" w:rsidRDefault="00270E41" w:rsidP="00270E41">
      <w:pP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14.</w:t>
      </w:r>
      <w:r w:rsidRPr="00FD3168">
        <w:rPr>
          <w:b/>
          <w:bCs/>
          <w:szCs w:val="22"/>
          <w:lang w:eastAsia="sv-SE"/>
        </w:rPr>
        <w:tab/>
        <w:t>Zvláštní opatření</w:t>
      </w:r>
    </w:p>
    <w:p w14:paraId="61968413" w14:textId="77777777" w:rsidR="00241576" w:rsidRPr="00FD3168" w:rsidRDefault="00241576">
      <w:pPr>
        <w:rPr>
          <w:szCs w:val="22"/>
        </w:rPr>
      </w:pPr>
    </w:p>
    <w:p w14:paraId="6655B4D3" w14:textId="77777777" w:rsidR="009A1F87" w:rsidRPr="00FD3168" w:rsidRDefault="009A1F87" w:rsidP="009A1F87">
      <w:pPr>
        <w:rPr>
          <w:u w:val="single"/>
        </w:rPr>
      </w:pPr>
      <w:r w:rsidRPr="00FD3168">
        <w:rPr>
          <w:u w:val="single"/>
        </w:rPr>
        <w:t>Zvláštní upozornění pro každý cílový druh</w:t>
      </w:r>
    </w:p>
    <w:p w14:paraId="01070063" w14:textId="77777777" w:rsidR="009A1F87" w:rsidRPr="00FD3168" w:rsidRDefault="009A1F87" w:rsidP="009A1F87">
      <w:proofErr w:type="spellStart"/>
      <w:r w:rsidRPr="00FD3168">
        <w:t>Medroxyprogesteron</w:t>
      </w:r>
      <w:proofErr w:type="spellEnd"/>
      <w:r w:rsidRPr="00FD3168">
        <w:t xml:space="preserve"> není určen k léčbě ani léčebnému navození sterility.</w:t>
      </w:r>
    </w:p>
    <w:p w14:paraId="04A68181" w14:textId="77777777" w:rsidR="00A642DD" w:rsidRPr="00FD3168" w:rsidRDefault="00A642DD">
      <w:pPr>
        <w:rPr>
          <w:szCs w:val="22"/>
        </w:rPr>
      </w:pPr>
    </w:p>
    <w:p w14:paraId="02C2D370" w14:textId="77777777" w:rsidR="009A1F87" w:rsidRPr="00FD3168" w:rsidRDefault="009A1F87" w:rsidP="009A1F87">
      <w:pPr>
        <w:rPr>
          <w:u w:val="single"/>
        </w:rPr>
      </w:pPr>
      <w:r w:rsidRPr="00FD3168">
        <w:rPr>
          <w:u w:val="single"/>
        </w:rPr>
        <w:t>Zvláštní opatření pro použití u zvířat</w:t>
      </w:r>
    </w:p>
    <w:p w14:paraId="073616B0" w14:textId="0D5715B8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 xml:space="preserve">Zvířata musí být pohlavně zralá a v dobrém zdravotním stavu. Při podávání </w:t>
      </w:r>
      <w:proofErr w:type="spellStart"/>
      <w:r w:rsidRPr="00FD3168">
        <w:rPr>
          <w:szCs w:val="22"/>
        </w:rPr>
        <w:t>jehničkám</w:t>
      </w:r>
      <w:proofErr w:type="spellEnd"/>
      <w:r w:rsidRPr="00FD3168">
        <w:rPr>
          <w:szCs w:val="22"/>
        </w:rPr>
        <w:t xml:space="preserve"> tyto musí být alespoň 7 měsíců staré a vážit nejmén</w:t>
      </w:r>
      <w:r w:rsidR="00FD3168">
        <w:rPr>
          <w:szCs w:val="22"/>
        </w:rPr>
        <w:t>ě</w:t>
      </w:r>
      <w:r w:rsidRPr="00FD3168">
        <w:rPr>
          <w:szCs w:val="22"/>
        </w:rPr>
        <w:t xml:space="preserve"> 70 % očekávané hmotnosti v dospělosti.</w:t>
      </w:r>
    </w:p>
    <w:p w14:paraId="41110B79" w14:textId="60E8E405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>Hubky musí být umístěny do vaginy pomocí předem vydezinfikovaného aplikátoru (nedoporučujeme k dezinfekci použít alkohol</w:t>
      </w:r>
      <w:r w:rsidR="0014583D" w:rsidRPr="00FD3168">
        <w:rPr>
          <w:szCs w:val="22"/>
        </w:rPr>
        <w:t>,</w:t>
      </w:r>
      <w:r w:rsidR="00FD3168">
        <w:rPr>
          <w:szCs w:val="22"/>
        </w:rPr>
        <w:t xml:space="preserve"> </w:t>
      </w:r>
      <w:r w:rsidRPr="00FD3168">
        <w:rPr>
          <w:szCs w:val="22"/>
        </w:rPr>
        <w:t>krezoly</w:t>
      </w:r>
      <w:r w:rsidR="0014583D" w:rsidRPr="00FD3168">
        <w:rPr>
          <w:szCs w:val="22"/>
        </w:rPr>
        <w:t xml:space="preserve"> a fenoly</w:t>
      </w:r>
      <w:r w:rsidRPr="00FD3168">
        <w:rPr>
          <w:szCs w:val="22"/>
        </w:rPr>
        <w:t>).</w:t>
      </w:r>
    </w:p>
    <w:p w14:paraId="45F1FC6F" w14:textId="77777777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 xml:space="preserve">Pokud je aplikace hubky obtížná (velmi odolný hymen, malformace atd.), nepokoušejte se zavést aplikátor silou, ale proveďte masáž hymenu nebo manuální rupturu hymenu, je-li to nutné. </w:t>
      </w:r>
    </w:p>
    <w:p w14:paraId="6F6E16EC" w14:textId="77777777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 xml:space="preserve">Hubka by měla být vyjmuta před ukončením doby </w:t>
      </w:r>
      <w:r w:rsidRPr="00FD3168">
        <w:t>léčby v následujících situacích</w:t>
      </w:r>
      <w:r w:rsidRPr="00FD3168">
        <w:rPr>
          <w:szCs w:val="22"/>
        </w:rPr>
        <w:t>:</w:t>
      </w:r>
    </w:p>
    <w:p w14:paraId="6D724B73" w14:textId="77777777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ab/>
        <w:t>pokud se na aplikátoru po zavedení objeví krev</w:t>
      </w:r>
    </w:p>
    <w:p w14:paraId="54C57463" w14:textId="77777777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ab/>
        <w:t>pokud se šňůrka přetrhne</w:t>
      </w:r>
    </w:p>
    <w:p w14:paraId="360ECC50" w14:textId="77777777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ab/>
        <w:t>pokud zjistíte abnormální sekreci nebo akutní metritidu</w:t>
      </w:r>
    </w:p>
    <w:p w14:paraId="70C0E470" w14:textId="77777777" w:rsidR="009A1F87" w:rsidRPr="00FD3168" w:rsidRDefault="009A1F87">
      <w:pPr>
        <w:rPr>
          <w:szCs w:val="22"/>
        </w:rPr>
      </w:pPr>
    </w:p>
    <w:p w14:paraId="3308928D" w14:textId="684DFF96" w:rsidR="009A1F87" w:rsidRPr="00FD3168" w:rsidRDefault="009A1F87" w:rsidP="009A1F87">
      <w:pPr>
        <w:rPr>
          <w:u w:val="single"/>
        </w:rPr>
      </w:pPr>
      <w:r w:rsidRPr="00FD3168">
        <w:rPr>
          <w:u w:val="single"/>
        </w:rPr>
        <w:t>Zvláštní opatření určené osobám, které podávají veterinární léčivý přípravek zvířatům</w:t>
      </w:r>
      <w:r w:rsidR="004B5B07" w:rsidRPr="00FD3168">
        <w:rPr>
          <w:u w:val="single"/>
        </w:rPr>
        <w:t>:</w:t>
      </w:r>
    </w:p>
    <w:p w14:paraId="6AEAFA6B" w14:textId="77777777" w:rsidR="009A1F87" w:rsidRPr="00FD3168" w:rsidRDefault="009A1F87" w:rsidP="009A1F87">
      <w:pPr>
        <w:ind w:left="0" w:firstLine="0"/>
        <w:jc w:val="both"/>
      </w:pPr>
      <w:r w:rsidRPr="00FD3168">
        <w:t xml:space="preserve">Lidé se známou přecitlivělostí na </w:t>
      </w:r>
      <w:proofErr w:type="spellStart"/>
      <w:r w:rsidRPr="00FD3168">
        <w:rPr>
          <w:bCs/>
          <w:szCs w:val="22"/>
        </w:rPr>
        <w:t>medroxyprogesteron</w:t>
      </w:r>
      <w:proofErr w:type="spellEnd"/>
      <w:r w:rsidRPr="00FD3168">
        <w:rPr>
          <w:sz w:val="24"/>
        </w:rPr>
        <w:t xml:space="preserve"> </w:t>
      </w:r>
      <w:r w:rsidRPr="00FD3168">
        <w:t>by se měli vyhnout kontaktu s veterinárním léčivým přípravkem.</w:t>
      </w:r>
    </w:p>
    <w:p w14:paraId="5395DAD9" w14:textId="2B12745A" w:rsidR="009A1F87" w:rsidRPr="00FD3168" w:rsidRDefault="009A1F87" w:rsidP="009A1F87">
      <w:pPr>
        <w:ind w:left="0" w:firstLine="0"/>
        <w:jc w:val="both"/>
      </w:pPr>
      <w:r w:rsidRPr="00FD3168">
        <w:t>Při nakládání s veterinárním léčivým přípravkem by se měly používat osobní ochranné prostředky</w:t>
      </w:r>
      <w:r w:rsidR="004B5B07" w:rsidRPr="00FD3168">
        <w:t xml:space="preserve"> skládající se z </w:t>
      </w:r>
      <w:r w:rsidRPr="00FD3168">
        <w:t>rukavic.</w:t>
      </w:r>
    </w:p>
    <w:p w14:paraId="36F999F7" w14:textId="7E067BBB" w:rsidR="009A1F87" w:rsidRPr="00FD3168" w:rsidRDefault="00D74A20" w:rsidP="009A1F87">
      <w:pPr>
        <w:ind w:left="0" w:firstLine="0"/>
        <w:jc w:val="both"/>
      </w:pPr>
      <w:r w:rsidRPr="00FD3168">
        <w:t xml:space="preserve">Veterinární léčivý přípravek </w:t>
      </w:r>
      <w:r w:rsidR="009A1F87" w:rsidRPr="00FD3168">
        <w:t xml:space="preserve">by neměly podávat těhotné ženy. </w:t>
      </w:r>
    </w:p>
    <w:p w14:paraId="2094581F" w14:textId="59C5A95F" w:rsidR="00646AF5" w:rsidRPr="00FD3168" w:rsidRDefault="00646AF5">
      <w:pPr>
        <w:ind w:left="0" w:firstLine="0"/>
      </w:pPr>
    </w:p>
    <w:p w14:paraId="76056A5C" w14:textId="77777777" w:rsidR="008C53C8" w:rsidRPr="00FD3168" w:rsidRDefault="008C53C8" w:rsidP="008C53C8">
      <w:pPr>
        <w:rPr>
          <w:u w:val="single"/>
        </w:rPr>
      </w:pPr>
      <w:r w:rsidRPr="00FD3168">
        <w:rPr>
          <w:u w:val="single"/>
        </w:rPr>
        <w:t>Použití v průběhu březosti, laktace nebo snášky</w:t>
      </w:r>
    </w:p>
    <w:p w14:paraId="48CE481A" w14:textId="10BBBC85" w:rsidR="008C53C8" w:rsidRPr="00FD3168" w:rsidRDefault="008C53C8" w:rsidP="008C53C8">
      <w:pPr>
        <w:ind w:left="0" w:firstLine="0"/>
        <w:rPr>
          <w:szCs w:val="22"/>
        </w:rPr>
      </w:pPr>
      <w:r w:rsidRPr="00FD3168">
        <w:rPr>
          <w:szCs w:val="22"/>
        </w:rPr>
        <w:t xml:space="preserve">Tento veterinární léčivý přípravek lze použít u bahnic v laktaci, avšak </w:t>
      </w:r>
      <w:r w:rsidRPr="00FD3168">
        <w:t>účin</w:t>
      </w:r>
      <w:r w:rsidRPr="00FD3168">
        <w:rPr>
          <w:szCs w:val="22"/>
        </w:rPr>
        <w:t>nost bude patrně nižší. Minimální interval 60 dní je doporučeno zachovat mezi porodem a lé</w:t>
      </w:r>
      <w:r w:rsidRPr="00FD3168">
        <w:t>čbou v dob</w:t>
      </w:r>
      <w:r w:rsidRPr="00FD3168">
        <w:rPr>
          <w:szCs w:val="22"/>
        </w:rPr>
        <w:t xml:space="preserve">ě </w:t>
      </w:r>
      <w:r w:rsidR="00FD3168" w:rsidRPr="00FD3168">
        <w:t>připou</w:t>
      </w:r>
      <w:r w:rsidR="00FD3168" w:rsidRPr="00FD3168">
        <w:rPr>
          <w:szCs w:val="22"/>
        </w:rPr>
        <w:t>štěcího</w:t>
      </w:r>
      <w:r w:rsidRPr="00FD3168">
        <w:rPr>
          <w:szCs w:val="22"/>
        </w:rPr>
        <w:t xml:space="preserve"> období a 75 dní v době anestru.</w:t>
      </w:r>
    </w:p>
    <w:p w14:paraId="2CB0F0E0" w14:textId="77777777" w:rsidR="008C53C8" w:rsidRPr="00FD3168" w:rsidRDefault="008C53C8" w:rsidP="008C53C8">
      <w:pPr>
        <w:ind w:left="0" w:firstLine="0"/>
        <w:rPr>
          <w:szCs w:val="22"/>
        </w:rPr>
      </w:pPr>
      <w:r w:rsidRPr="00FD3168">
        <w:rPr>
          <w:szCs w:val="22"/>
        </w:rPr>
        <w:t>Neaplikujte během březosti.</w:t>
      </w:r>
    </w:p>
    <w:p w14:paraId="1B159CA4" w14:textId="77777777" w:rsidR="00065410" w:rsidRPr="00FD3168" w:rsidRDefault="00065410"/>
    <w:p w14:paraId="2726FC32" w14:textId="77777777" w:rsidR="007D62B0" w:rsidRPr="00FD3168" w:rsidRDefault="007D62B0" w:rsidP="007D62B0">
      <w:pPr>
        <w:rPr>
          <w:u w:val="single"/>
        </w:rPr>
      </w:pPr>
      <w:r w:rsidRPr="00FD3168">
        <w:rPr>
          <w:u w:val="single"/>
        </w:rPr>
        <w:lastRenderedPageBreak/>
        <w:t>Interakce s dalšími léčivými přípravky a další formy interakce</w:t>
      </w:r>
    </w:p>
    <w:p w14:paraId="1DA5E1FC" w14:textId="77777777" w:rsidR="007D62B0" w:rsidRPr="00FD3168" w:rsidRDefault="007D62B0" w:rsidP="007D62B0">
      <w:r w:rsidRPr="00FD3168">
        <w:t>Nejsou známy.</w:t>
      </w:r>
    </w:p>
    <w:p w14:paraId="7FDB2F86" w14:textId="77777777" w:rsidR="007D62B0" w:rsidRPr="00FD3168" w:rsidRDefault="007D62B0"/>
    <w:p w14:paraId="16BB239D" w14:textId="77777777" w:rsidR="007D62B0" w:rsidRPr="00FD3168" w:rsidRDefault="007D62B0" w:rsidP="007D62B0">
      <w:pPr>
        <w:rPr>
          <w:u w:val="single"/>
        </w:rPr>
      </w:pPr>
      <w:r w:rsidRPr="00FD3168">
        <w:rPr>
          <w:u w:val="single"/>
        </w:rPr>
        <w:t xml:space="preserve">Předávkování (symptomy, první pomoc, </w:t>
      </w:r>
      <w:proofErr w:type="spellStart"/>
      <w:r w:rsidRPr="00FD3168">
        <w:rPr>
          <w:u w:val="single"/>
        </w:rPr>
        <w:t>antidota</w:t>
      </w:r>
      <w:proofErr w:type="spellEnd"/>
      <w:r w:rsidRPr="00FD3168">
        <w:rPr>
          <w:u w:val="single"/>
        </w:rPr>
        <w:t>), pokud je to nutné</w:t>
      </w:r>
    </w:p>
    <w:p w14:paraId="2452024C" w14:textId="77777777" w:rsidR="007D62B0" w:rsidRPr="00FD3168" w:rsidRDefault="007D62B0" w:rsidP="007D62B0">
      <w:pPr>
        <w:ind w:left="0" w:firstLine="0"/>
        <w:jc w:val="both"/>
        <w:rPr>
          <w:szCs w:val="22"/>
        </w:rPr>
      </w:pPr>
      <w:r w:rsidRPr="00FD3168">
        <w:rPr>
          <w:szCs w:val="22"/>
        </w:rPr>
        <w:t>Vzhledem k cestě podání je předávkování velmi nepravděpodobné.</w:t>
      </w:r>
    </w:p>
    <w:p w14:paraId="792EE34A" w14:textId="77777777" w:rsidR="007D62B0" w:rsidRPr="00FD3168" w:rsidRDefault="007D62B0" w:rsidP="007D62B0">
      <w:pPr>
        <w:ind w:left="0" w:firstLine="0"/>
        <w:jc w:val="both"/>
        <w:rPr>
          <w:szCs w:val="22"/>
        </w:rPr>
      </w:pPr>
      <w:r w:rsidRPr="00FD3168">
        <w:rPr>
          <w:szCs w:val="22"/>
        </w:rPr>
        <w:t>Dlouhodobé zavedení hubky může způsobit podráždění pochvy a změny endometria.</w:t>
      </w:r>
    </w:p>
    <w:p w14:paraId="16D28B3E" w14:textId="77777777" w:rsidR="007D62B0" w:rsidRPr="00FD3168" w:rsidRDefault="007D62B0"/>
    <w:p w14:paraId="263478A8" w14:textId="77777777" w:rsidR="00671D01" w:rsidRPr="00FD3168" w:rsidRDefault="00671D01" w:rsidP="00671D01">
      <w:pPr>
        <w:rPr>
          <w:u w:val="single"/>
        </w:rPr>
      </w:pPr>
      <w:r w:rsidRPr="00FD3168">
        <w:rPr>
          <w:u w:val="single"/>
        </w:rPr>
        <w:t>Inkompatibility</w:t>
      </w:r>
    </w:p>
    <w:p w14:paraId="4605822C" w14:textId="77777777" w:rsidR="007D62B0" w:rsidRPr="00FD3168" w:rsidRDefault="00671D01" w:rsidP="00671D01">
      <w:r w:rsidRPr="00FD3168">
        <w:t>Nejsou známy.</w:t>
      </w:r>
    </w:p>
    <w:p w14:paraId="5C5FB437" w14:textId="77777777" w:rsidR="007D62B0" w:rsidRPr="00FD3168" w:rsidRDefault="007D62B0"/>
    <w:p w14:paraId="5E9180D7" w14:textId="77777777" w:rsidR="00270E41" w:rsidRPr="00FD3168" w:rsidRDefault="00270E41"/>
    <w:p w14:paraId="0F08904D" w14:textId="5325C13B" w:rsidR="00270E41" w:rsidRPr="00FD3168" w:rsidRDefault="00270E41" w:rsidP="00270E41">
      <w:pP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15. </w:t>
      </w:r>
      <w:r w:rsidRPr="00FD3168">
        <w:rPr>
          <w:b/>
          <w:bCs/>
          <w:szCs w:val="22"/>
          <w:lang w:eastAsia="sv-SE"/>
        </w:rPr>
        <w:tab/>
        <w:t>Zvláštní opatření pro zneškodňování nepoužitých přípravků nebo odpadu, pokud je jich třeba</w:t>
      </w:r>
    </w:p>
    <w:p w14:paraId="5694856E" w14:textId="77777777" w:rsidR="00510EDD" w:rsidRPr="00FD3168" w:rsidRDefault="00510EDD"/>
    <w:p w14:paraId="1ACFB44A" w14:textId="77777777" w:rsidR="00510EDD" w:rsidRPr="00FD3168" w:rsidRDefault="00510EDD" w:rsidP="00510EDD">
      <w:pPr>
        <w:ind w:left="0" w:firstLine="0"/>
      </w:pPr>
      <w:r w:rsidRPr="00FD3168">
        <w:t>Léčivé přípravky se nesmí likvidovat prostřednictvím odpadní vody či domovního odpadu.</w:t>
      </w:r>
    </w:p>
    <w:p w14:paraId="2D4440DE" w14:textId="77777777" w:rsidR="00510EDD" w:rsidRPr="00FD3168" w:rsidRDefault="00510EDD" w:rsidP="00510EDD">
      <w:pPr>
        <w:ind w:left="0" w:firstLine="0"/>
      </w:pPr>
      <w:r w:rsidRPr="00FD3168">
        <w:t xml:space="preserve">O možnostech likvidace nepotřebných léčivých přípravků se poraďte s vaším veterinárním lékařem. Tato opatření napomáhají chránit životní prostředí.   </w:t>
      </w:r>
    </w:p>
    <w:p w14:paraId="2E795127" w14:textId="77777777" w:rsidR="00270E41" w:rsidRPr="00FD3168" w:rsidRDefault="00270E41" w:rsidP="008854D5">
      <w:pPr>
        <w:ind w:left="0" w:firstLine="0"/>
      </w:pPr>
    </w:p>
    <w:p w14:paraId="7F2B0A19" w14:textId="77777777" w:rsidR="00270E41" w:rsidRPr="00FD3168" w:rsidRDefault="00270E41" w:rsidP="00510EDD">
      <w:pPr>
        <w:ind w:left="0" w:firstLine="0"/>
      </w:pPr>
    </w:p>
    <w:p w14:paraId="312F657B" w14:textId="6A72D0D1" w:rsidR="00270E41" w:rsidRPr="00FD3168" w:rsidRDefault="00270E41" w:rsidP="00270E41">
      <w:pP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16.</w:t>
      </w:r>
      <w:r w:rsidRPr="00FD3168">
        <w:rPr>
          <w:b/>
          <w:bCs/>
          <w:szCs w:val="22"/>
          <w:lang w:eastAsia="sv-SE"/>
        </w:rPr>
        <w:tab/>
        <w:t xml:space="preserve">Datum poslední revize </w:t>
      </w:r>
      <w:r w:rsidR="00A31B9A" w:rsidRPr="00FD3168">
        <w:rPr>
          <w:b/>
          <w:bCs/>
          <w:szCs w:val="22"/>
          <w:lang w:eastAsia="sv-SE"/>
        </w:rPr>
        <w:t>příbalové informace</w:t>
      </w:r>
    </w:p>
    <w:p w14:paraId="0254F807" w14:textId="77777777" w:rsidR="00510EDD" w:rsidRPr="00FD3168" w:rsidRDefault="00510EDD"/>
    <w:p w14:paraId="10BBDDF1" w14:textId="2706359D" w:rsidR="00510EDD" w:rsidRPr="00FD3168" w:rsidRDefault="007A760A">
      <w:r>
        <w:t>Září 2025</w:t>
      </w:r>
    </w:p>
    <w:p w14:paraId="123E1F47" w14:textId="77777777" w:rsidR="00510EDD" w:rsidRPr="00FD3168" w:rsidRDefault="00510EDD"/>
    <w:p w14:paraId="74429E2A" w14:textId="77777777" w:rsidR="00270E41" w:rsidRPr="00FD3168" w:rsidRDefault="00270E41"/>
    <w:p w14:paraId="3ABA9404" w14:textId="77777777" w:rsidR="00510EDD" w:rsidRPr="00FD3168" w:rsidRDefault="00270E41">
      <w:r w:rsidRPr="00FD3168">
        <w:rPr>
          <w:b/>
          <w:bCs/>
          <w:szCs w:val="22"/>
          <w:lang w:eastAsia="sv-SE"/>
        </w:rPr>
        <w:t xml:space="preserve">17. </w:t>
      </w:r>
      <w:r w:rsidRPr="00FD3168">
        <w:rPr>
          <w:b/>
          <w:bCs/>
          <w:szCs w:val="22"/>
          <w:lang w:eastAsia="sv-SE"/>
        </w:rPr>
        <w:tab/>
        <w:t>Další informace</w:t>
      </w:r>
    </w:p>
    <w:p w14:paraId="22CD2084" w14:textId="77777777" w:rsidR="00270E41" w:rsidRPr="00FD3168" w:rsidRDefault="00270E41" w:rsidP="00D23EC3"/>
    <w:p w14:paraId="6F1E96FF" w14:textId="77777777" w:rsidR="00270E41" w:rsidRPr="00FD3168" w:rsidRDefault="00270E41" w:rsidP="00270E41">
      <w:pPr>
        <w:rPr>
          <w:szCs w:val="22"/>
        </w:rPr>
      </w:pPr>
    </w:p>
    <w:p w14:paraId="0393AA6E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b/>
          <w:szCs w:val="22"/>
          <w:lang w:eastAsia="sv-SE"/>
        </w:rPr>
      </w:pPr>
      <w:r w:rsidRPr="00FD3168">
        <w:rPr>
          <w:b/>
          <w:szCs w:val="22"/>
          <w:lang w:eastAsia="sv-SE"/>
        </w:rPr>
        <w:t>18.</w:t>
      </w:r>
      <w:r w:rsidRPr="00FD3168">
        <w:rPr>
          <w:b/>
          <w:szCs w:val="22"/>
          <w:lang w:eastAsia="sv-SE"/>
        </w:rPr>
        <w:tab/>
        <w:t>Označení “Pouze pro zvířata” a podmínky nebo omezení týkající se výdeje a použití, pokud je jich třeba</w:t>
      </w:r>
    </w:p>
    <w:p w14:paraId="52FDDFC1" w14:textId="77777777" w:rsidR="00270E41" w:rsidRPr="00FD3168" w:rsidRDefault="00270E41" w:rsidP="00270E41">
      <w:pPr>
        <w:rPr>
          <w:szCs w:val="22"/>
          <w:lang w:eastAsia="sv-SE"/>
        </w:rPr>
      </w:pPr>
    </w:p>
    <w:p w14:paraId="707DC5E1" w14:textId="77777777" w:rsidR="00270E41" w:rsidRPr="00FD3168" w:rsidRDefault="00F03B80" w:rsidP="008854D5">
      <w:r w:rsidRPr="00FD3168">
        <w:t>Pouze pro zvířata. Veterinární léčivý přípravek je vydáván pouze na předpis.</w:t>
      </w:r>
    </w:p>
    <w:p w14:paraId="241D2F9E" w14:textId="77777777" w:rsidR="00270E41" w:rsidRPr="00FD3168" w:rsidRDefault="00270E41" w:rsidP="008854D5">
      <w:pPr>
        <w:rPr>
          <w:szCs w:val="22"/>
          <w:lang w:eastAsia="sv-SE"/>
        </w:rPr>
      </w:pPr>
    </w:p>
    <w:p w14:paraId="0EB88303" w14:textId="77777777" w:rsidR="00270E41" w:rsidRPr="00FD3168" w:rsidRDefault="00270E41" w:rsidP="00270E41">
      <w:pPr>
        <w:rPr>
          <w:szCs w:val="22"/>
          <w:lang w:eastAsia="sv-SE"/>
        </w:rPr>
      </w:pPr>
    </w:p>
    <w:p w14:paraId="5786CFEC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Cs w:val="22"/>
          <w:lang w:eastAsia="sv-SE"/>
        </w:rPr>
      </w:pPr>
      <w:r w:rsidRPr="00FD3168">
        <w:rPr>
          <w:b/>
          <w:szCs w:val="22"/>
          <w:lang w:eastAsia="sv-SE"/>
        </w:rPr>
        <w:t>19.</w:t>
      </w:r>
      <w:r w:rsidRPr="00FD3168">
        <w:rPr>
          <w:b/>
          <w:szCs w:val="22"/>
          <w:lang w:eastAsia="sv-SE"/>
        </w:rPr>
        <w:tab/>
        <w:t>Označení “Uchovávat mimo dohled a dosah dětí”</w:t>
      </w:r>
    </w:p>
    <w:p w14:paraId="69E375A9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5625C7EF" w14:textId="77777777" w:rsidR="00270E41" w:rsidRPr="00FD3168" w:rsidRDefault="00270E41" w:rsidP="00D23EC3">
      <w:r w:rsidRPr="00FD3168">
        <w:rPr>
          <w:szCs w:val="22"/>
          <w:lang w:eastAsia="sv-SE"/>
        </w:rPr>
        <w:t>Uchovávat mimo dohled a dosah dětí.</w:t>
      </w:r>
    </w:p>
    <w:p w14:paraId="0273F91D" w14:textId="77777777" w:rsidR="00270E41" w:rsidRPr="00FD3168" w:rsidRDefault="00270E41" w:rsidP="00D23EC3"/>
    <w:p w14:paraId="3628867B" w14:textId="77777777" w:rsidR="00270E41" w:rsidRPr="00FD3168" w:rsidRDefault="00270E41" w:rsidP="00D23EC3"/>
    <w:p w14:paraId="4BBBF853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20.</w:t>
      </w:r>
      <w:r w:rsidRPr="00FD3168">
        <w:rPr>
          <w:b/>
          <w:bCs/>
          <w:szCs w:val="22"/>
          <w:lang w:eastAsia="sv-SE"/>
        </w:rPr>
        <w:tab/>
        <w:t>Datum exspirace</w:t>
      </w:r>
    </w:p>
    <w:p w14:paraId="77706FC1" w14:textId="0D3BEFE5" w:rsidR="00270E41" w:rsidRPr="00FD3168" w:rsidRDefault="00270E41" w:rsidP="00270E41"/>
    <w:p w14:paraId="2F7C3D85" w14:textId="4C248698" w:rsidR="00D23EC3" w:rsidRPr="00FD3168" w:rsidRDefault="00D23EC3" w:rsidP="00270E41">
      <w:r w:rsidRPr="00FD3168">
        <w:t xml:space="preserve">EXP: </w:t>
      </w:r>
      <w:r w:rsidR="00C1798B" w:rsidRPr="00FD3168">
        <w:t>{</w:t>
      </w:r>
      <w:r w:rsidRPr="00FD3168">
        <w:t>měsíc/rok</w:t>
      </w:r>
      <w:r w:rsidR="00C1798B" w:rsidRPr="00FD3168">
        <w:t>}</w:t>
      </w:r>
    </w:p>
    <w:p w14:paraId="4C50DB47" w14:textId="77777777" w:rsidR="00D23EC3" w:rsidRPr="00FD3168" w:rsidRDefault="00D23EC3" w:rsidP="00D23EC3"/>
    <w:p w14:paraId="54F902F7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6FF3A534" w14:textId="37E829C2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21.</w:t>
      </w:r>
      <w:r w:rsidRPr="00FD3168">
        <w:rPr>
          <w:b/>
          <w:bCs/>
          <w:szCs w:val="22"/>
          <w:lang w:eastAsia="sv-SE"/>
        </w:rPr>
        <w:tab/>
      </w:r>
      <w:r w:rsidRPr="00FD3168">
        <w:rPr>
          <w:b/>
        </w:rPr>
        <w:t>Registrační číslo</w:t>
      </w:r>
      <w:r w:rsidRPr="00FD3168">
        <w:rPr>
          <w:b/>
          <w:bCs/>
          <w:szCs w:val="22"/>
          <w:lang w:eastAsia="sv-SE"/>
        </w:rPr>
        <w:t>(a)</w:t>
      </w:r>
    </w:p>
    <w:p w14:paraId="7115B62C" w14:textId="77777777" w:rsidR="00270E41" w:rsidRPr="00FD3168" w:rsidRDefault="00270E41" w:rsidP="00270E41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68FAA09B" w14:textId="77777777" w:rsidR="00270E41" w:rsidRPr="00FD3168" w:rsidRDefault="00D34DA2" w:rsidP="008854D5">
      <w:pPr>
        <w:rPr>
          <w:caps/>
        </w:rPr>
      </w:pPr>
      <w:r w:rsidRPr="00FD3168">
        <w:rPr>
          <w:caps/>
        </w:rPr>
        <w:t>96/059/</w:t>
      </w:r>
      <w:proofErr w:type="gramStart"/>
      <w:r w:rsidRPr="00FD3168">
        <w:rPr>
          <w:caps/>
        </w:rPr>
        <w:t>09-C</w:t>
      </w:r>
      <w:proofErr w:type="gramEnd"/>
    </w:p>
    <w:p w14:paraId="71F0466D" w14:textId="77777777" w:rsidR="00D34DA2" w:rsidRPr="00FD3168" w:rsidRDefault="00D34DA2" w:rsidP="00D23EC3"/>
    <w:p w14:paraId="29CAC7EC" w14:textId="77777777" w:rsidR="00270E41" w:rsidRPr="00FD3168" w:rsidRDefault="00270E41" w:rsidP="00270E41">
      <w:pPr>
        <w:rPr>
          <w:szCs w:val="22"/>
          <w:lang w:eastAsia="sv-SE"/>
        </w:rPr>
      </w:pPr>
    </w:p>
    <w:p w14:paraId="63647A2E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22. Číslo šarže od výrobce</w:t>
      </w:r>
    </w:p>
    <w:p w14:paraId="20B02190" w14:textId="77777777" w:rsidR="00270E41" w:rsidRPr="00FD3168" w:rsidRDefault="00270E41" w:rsidP="00270E41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5EEC89C3" w14:textId="77777777" w:rsidR="00D23EC3" w:rsidRPr="00FD3168" w:rsidRDefault="00D23EC3" w:rsidP="00D23EC3">
      <w:pPr>
        <w:ind w:left="0" w:right="-2" w:firstLine="0"/>
        <w:rPr>
          <w:vanish/>
        </w:rPr>
      </w:pPr>
      <w:r w:rsidRPr="00FD3168">
        <w:t>Šarže:</w:t>
      </w:r>
      <w:r w:rsidR="0014583D" w:rsidRPr="00FD3168">
        <w:t xml:space="preserve"> {číslo}</w:t>
      </w:r>
    </w:p>
    <w:sectPr w:rsidR="00D23EC3" w:rsidRPr="00FD3168" w:rsidSect="00FD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417" w:right="1417" w:bottom="1417" w:left="1417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9049C" w14:textId="77777777" w:rsidR="006F3092" w:rsidRDefault="006F3092">
      <w:r>
        <w:separator/>
      </w:r>
    </w:p>
  </w:endnote>
  <w:endnote w:type="continuationSeparator" w:id="0">
    <w:p w14:paraId="17EF300E" w14:textId="77777777" w:rsidR="006F3092" w:rsidRDefault="006F3092">
      <w:r>
        <w:continuationSeparator/>
      </w:r>
    </w:p>
  </w:endnote>
  <w:endnote w:type="continuationNotice" w:id="1">
    <w:p w14:paraId="533C5F97" w14:textId="77777777" w:rsidR="006F3092" w:rsidRDefault="006F3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8707" w14:textId="77777777" w:rsidR="001405D0" w:rsidRDefault="001405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8593" w14:textId="77777777" w:rsidR="008E223C" w:rsidRDefault="008E223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E9915" w14:textId="77777777" w:rsidR="008E223C" w:rsidRDefault="008E223C">
    <w:pPr>
      <w:pStyle w:val="Zpat"/>
      <w:tabs>
        <w:tab w:val="clear" w:pos="8930"/>
        <w:tab w:val="right" w:pos="89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0F223" w14:textId="77777777" w:rsidR="006F3092" w:rsidRDefault="006F3092">
      <w:r>
        <w:separator/>
      </w:r>
    </w:p>
  </w:footnote>
  <w:footnote w:type="continuationSeparator" w:id="0">
    <w:p w14:paraId="14AE39BF" w14:textId="77777777" w:rsidR="006F3092" w:rsidRDefault="006F3092">
      <w:r>
        <w:continuationSeparator/>
      </w:r>
    </w:p>
  </w:footnote>
  <w:footnote w:type="continuationNotice" w:id="1">
    <w:p w14:paraId="7EB5050F" w14:textId="77777777" w:rsidR="006F3092" w:rsidRDefault="006F30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1F07B" w14:textId="77777777" w:rsidR="001405D0" w:rsidRDefault="001405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EFDD6" w14:textId="77777777" w:rsidR="001405D0" w:rsidRDefault="001405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E996" w14:textId="35D58E52" w:rsidR="00742249" w:rsidRDefault="007422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37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5"/>
  </w:num>
  <w:num w:numId="11">
    <w:abstractNumId w:val="36"/>
  </w:num>
  <w:num w:numId="12">
    <w:abstractNumId w:val="18"/>
  </w:num>
  <w:num w:numId="13">
    <w:abstractNumId w:val="14"/>
  </w:num>
  <w:num w:numId="14">
    <w:abstractNumId w:val="2"/>
  </w:num>
  <w:num w:numId="15">
    <w:abstractNumId w:val="33"/>
  </w:num>
  <w:num w:numId="16">
    <w:abstractNumId w:val="20"/>
  </w:num>
  <w:num w:numId="17">
    <w:abstractNumId w:val="39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32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40"/>
  </w:num>
  <w:num w:numId="39">
    <w:abstractNumId w:val="15"/>
  </w:num>
  <w:num w:numId="40">
    <w:abstractNumId w:val="5"/>
  </w:num>
  <w:num w:numId="41">
    <w:abstractNumId w:val="2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01467"/>
    <w:rsid w:val="000072D5"/>
    <w:rsid w:val="00013853"/>
    <w:rsid w:val="00022621"/>
    <w:rsid w:val="00024313"/>
    <w:rsid w:val="00040CFA"/>
    <w:rsid w:val="00044181"/>
    <w:rsid w:val="00065410"/>
    <w:rsid w:val="00067640"/>
    <w:rsid w:val="00074542"/>
    <w:rsid w:val="00094E8A"/>
    <w:rsid w:val="000A028D"/>
    <w:rsid w:val="000A7089"/>
    <w:rsid w:val="000B15A4"/>
    <w:rsid w:val="000F0CA0"/>
    <w:rsid w:val="000F1AB7"/>
    <w:rsid w:val="00116F84"/>
    <w:rsid w:val="001405D0"/>
    <w:rsid w:val="00140775"/>
    <w:rsid w:val="001443DA"/>
    <w:rsid w:val="0014583D"/>
    <w:rsid w:val="00152E20"/>
    <w:rsid w:val="001556FD"/>
    <w:rsid w:val="00155E9D"/>
    <w:rsid w:val="001652DE"/>
    <w:rsid w:val="00166197"/>
    <w:rsid w:val="00175CFD"/>
    <w:rsid w:val="00185CB3"/>
    <w:rsid w:val="001A24A9"/>
    <w:rsid w:val="001A5B3A"/>
    <w:rsid w:val="001B338F"/>
    <w:rsid w:val="001E0872"/>
    <w:rsid w:val="001E1F34"/>
    <w:rsid w:val="001E33A9"/>
    <w:rsid w:val="001E7412"/>
    <w:rsid w:val="001F66B4"/>
    <w:rsid w:val="00204EDF"/>
    <w:rsid w:val="0020738F"/>
    <w:rsid w:val="0021737D"/>
    <w:rsid w:val="002215F4"/>
    <w:rsid w:val="002353A3"/>
    <w:rsid w:val="00241576"/>
    <w:rsid w:val="0025393A"/>
    <w:rsid w:val="00270E41"/>
    <w:rsid w:val="00294D9B"/>
    <w:rsid w:val="00296924"/>
    <w:rsid w:val="002B7702"/>
    <w:rsid w:val="002C4E18"/>
    <w:rsid w:val="002E2EBB"/>
    <w:rsid w:val="002E703B"/>
    <w:rsid w:val="002F33E2"/>
    <w:rsid w:val="00303773"/>
    <w:rsid w:val="003039C4"/>
    <w:rsid w:val="00321347"/>
    <w:rsid w:val="003478E1"/>
    <w:rsid w:val="00362BFE"/>
    <w:rsid w:val="00381254"/>
    <w:rsid w:val="003A1A62"/>
    <w:rsid w:val="003A6B6F"/>
    <w:rsid w:val="003A7224"/>
    <w:rsid w:val="003B37C8"/>
    <w:rsid w:val="003C663E"/>
    <w:rsid w:val="003D4FDD"/>
    <w:rsid w:val="003E0D57"/>
    <w:rsid w:val="003E3E6C"/>
    <w:rsid w:val="003F7E7F"/>
    <w:rsid w:val="00401AB8"/>
    <w:rsid w:val="00403374"/>
    <w:rsid w:val="00410FC4"/>
    <w:rsid w:val="00426AC0"/>
    <w:rsid w:val="00432909"/>
    <w:rsid w:val="00445750"/>
    <w:rsid w:val="00453EE6"/>
    <w:rsid w:val="00455F65"/>
    <w:rsid w:val="00464269"/>
    <w:rsid w:val="00485821"/>
    <w:rsid w:val="004A4A2C"/>
    <w:rsid w:val="004A57BD"/>
    <w:rsid w:val="004A6C10"/>
    <w:rsid w:val="004B5B07"/>
    <w:rsid w:val="004D3940"/>
    <w:rsid w:val="004E33B0"/>
    <w:rsid w:val="004E4088"/>
    <w:rsid w:val="004E5A8C"/>
    <w:rsid w:val="004F3604"/>
    <w:rsid w:val="004F705B"/>
    <w:rsid w:val="00510EDD"/>
    <w:rsid w:val="0052169B"/>
    <w:rsid w:val="00525669"/>
    <w:rsid w:val="0053744D"/>
    <w:rsid w:val="00543B14"/>
    <w:rsid w:val="00554D84"/>
    <w:rsid w:val="00554F5B"/>
    <w:rsid w:val="005657D9"/>
    <w:rsid w:val="005768E7"/>
    <w:rsid w:val="00592696"/>
    <w:rsid w:val="005B56FF"/>
    <w:rsid w:val="005C3CCB"/>
    <w:rsid w:val="005D32D1"/>
    <w:rsid w:val="005E3370"/>
    <w:rsid w:val="005E50A5"/>
    <w:rsid w:val="005F2E32"/>
    <w:rsid w:val="005F7FA2"/>
    <w:rsid w:val="006442F6"/>
    <w:rsid w:val="006453ED"/>
    <w:rsid w:val="00646AF5"/>
    <w:rsid w:val="00665999"/>
    <w:rsid w:val="00671D01"/>
    <w:rsid w:val="00682E55"/>
    <w:rsid w:val="006A2F72"/>
    <w:rsid w:val="006C4396"/>
    <w:rsid w:val="006C733F"/>
    <w:rsid w:val="006D2E0C"/>
    <w:rsid w:val="006D4FCD"/>
    <w:rsid w:val="006E2117"/>
    <w:rsid w:val="006E66ED"/>
    <w:rsid w:val="006F09CF"/>
    <w:rsid w:val="006F3092"/>
    <w:rsid w:val="00704E71"/>
    <w:rsid w:val="00717DDF"/>
    <w:rsid w:val="007209E4"/>
    <w:rsid w:val="00725273"/>
    <w:rsid w:val="00730F7C"/>
    <w:rsid w:val="00742249"/>
    <w:rsid w:val="00742EB3"/>
    <w:rsid w:val="00743110"/>
    <w:rsid w:val="00744EDC"/>
    <w:rsid w:val="007A5610"/>
    <w:rsid w:val="007A760A"/>
    <w:rsid w:val="007C6C15"/>
    <w:rsid w:val="007D62B0"/>
    <w:rsid w:val="007E27BC"/>
    <w:rsid w:val="007F0B23"/>
    <w:rsid w:val="008039B0"/>
    <w:rsid w:val="008043EC"/>
    <w:rsid w:val="0081008D"/>
    <w:rsid w:val="00814B2F"/>
    <w:rsid w:val="00827B0A"/>
    <w:rsid w:val="008302E2"/>
    <w:rsid w:val="00842B77"/>
    <w:rsid w:val="00870214"/>
    <w:rsid w:val="008758DA"/>
    <w:rsid w:val="0088105E"/>
    <w:rsid w:val="008854D5"/>
    <w:rsid w:val="00894E0F"/>
    <w:rsid w:val="008963C9"/>
    <w:rsid w:val="008A1D73"/>
    <w:rsid w:val="008B1355"/>
    <w:rsid w:val="008C53C8"/>
    <w:rsid w:val="008D5FA7"/>
    <w:rsid w:val="008E1461"/>
    <w:rsid w:val="008E223C"/>
    <w:rsid w:val="0092182B"/>
    <w:rsid w:val="0093052A"/>
    <w:rsid w:val="00945D2D"/>
    <w:rsid w:val="00946F90"/>
    <w:rsid w:val="00952E34"/>
    <w:rsid w:val="00953EB1"/>
    <w:rsid w:val="00955A6D"/>
    <w:rsid w:val="00976E1F"/>
    <w:rsid w:val="00976FEC"/>
    <w:rsid w:val="009A0570"/>
    <w:rsid w:val="009A1F87"/>
    <w:rsid w:val="009D390F"/>
    <w:rsid w:val="009D5C28"/>
    <w:rsid w:val="00A121C4"/>
    <w:rsid w:val="00A219CA"/>
    <w:rsid w:val="00A23A89"/>
    <w:rsid w:val="00A304F8"/>
    <w:rsid w:val="00A31B9A"/>
    <w:rsid w:val="00A33D05"/>
    <w:rsid w:val="00A37B1D"/>
    <w:rsid w:val="00A45FAE"/>
    <w:rsid w:val="00A60A84"/>
    <w:rsid w:val="00A642DD"/>
    <w:rsid w:val="00A94807"/>
    <w:rsid w:val="00AC30C1"/>
    <w:rsid w:val="00AE760F"/>
    <w:rsid w:val="00AF0F5F"/>
    <w:rsid w:val="00B1150B"/>
    <w:rsid w:val="00B41526"/>
    <w:rsid w:val="00B52AFE"/>
    <w:rsid w:val="00B62DA0"/>
    <w:rsid w:val="00B76FBC"/>
    <w:rsid w:val="00B861D6"/>
    <w:rsid w:val="00BA7E09"/>
    <w:rsid w:val="00BC1040"/>
    <w:rsid w:val="00BC1BBE"/>
    <w:rsid w:val="00BC33AE"/>
    <w:rsid w:val="00BD0D80"/>
    <w:rsid w:val="00BD306F"/>
    <w:rsid w:val="00BD6DD5"/>
    <w:rsid w:val="00C009AF"/>
    <w:rsid w:val="00C1798B"/>
    <w:rsid w:val="00C27C63"/>
    <w:rsid w:val="00C420A0"/>
    <w:rsid w:val="00C5109F"/>
    <w:rsid w:val="00C662E8"/>
    <w:rsid w:val="00C73011"/>
    <w:rsid w:val="00C740BE"/>
    <w:rsid w:val="00C7574D"/>
    <w:rsid w:val="00C82DDD"/>
    <w:rsid w:val="00C8461A"/>
    <w:rsid w:val="00C8498E"/>
    <w:rsid w:val="00C9401A"/>
    <w:rsid w:val="00CA0601"/>
    <w:rsid w:val="00CA0A9E"/>
    <w:rsid w:val="00CA3A99"/>
    <w:rsid w:val="00CA406D"/>
    <w:rsid w:val="00CB1ED6"/>
    <w:rsid w:val="00CD513C"/>
    <w:rsid w:val="00CF421C"/>
    <w:rsid w:val="00CF5161"/>
    <w:rsid w:val="00CF7CB3"/>
    <w:rsid w:val="00D01031"/>
    <w:rsid w:val="00D038DF"/>
    <w:rsid w:val="00D042A0"/>
    <w:rsid w:val="00D23EC3"/>
    <w:rsid w:val="00D26FFF"/>
    <w:rsid w:val="00D34DA2"/>
    <w:rsid w:val="00D41766"/>
    <w:rsid w:val="00D63797"/>
    <w:rsid w:val="00D65804"/>
    <w:rsid w:val="00D74A20"/>
    <w:rsid w:val="00D86292"/>
    <w:rsid w:val="00D8668E"/>
    <w:rsid w:val="00D9730B"/>
    <w:rsid w:val="00DA0FC5"/>
    <w:rsid w:val="00DB1B8C"/>
    <w:rsid w:val="00DC2659"/>
    <w:rsid w:val="00DE2E3E"/>
    <w:rsid w:val="00DE64DD"/>
    <w:rsid w:val="00DF1B51"/>
    <w:rsid w:val="00E20AD2"/>
    <w:rsid w:val="00E32C0F"/>
    <w:rsid w:val="00E33B23"/>
    <w:rsid w:val="00E9003E"/>
    <w:rsid w:val="00E92AF2"/>
    <w:rsid w:val="00E92CA9"/>
    <w:rsid w:val="00E97859"/>
    <w:rsid w:val="00EA0F3C"/>
    <w:rsid w:val="00EA67B0"/>
    <w:rsid w:val="00EA74C5"/>
    <w:rsid w:val="00EB3CF8"/>
    <w:rsid w:val="00EB45EB"/>
    <w:rsid w:val="00EB566F"/>
    <w:rsid w:val="00EC0BFB"/>
    <w:rsid w:val="00ED08CE"/>
    <w:rsid w:val="00F03B80"/>
    <w:rsid w:val="00F10A37"/>
    <w:rsid w:val="00F12F4B"/>
    <w:rsid w:val="00F16315"/>
    <w:rsid w:val="00F21194"/>
    <w:rsid w:val="00F23F92"/>
    <w:rsid w:val="00F44BB1"/>
    <w:rsid w:val="00F51039"/>
    <w:rsid w:val="00F564C7"/>
    <w:rsid w:val="00F637CA"/>
    <w:rsid w:val="00F75554"/>
    <w:rsid w:val="00FA3A3C"/>
    <w:rsid w:val="00FA4BEE"/>
    <w:rsid w:val="00FD3168"/>
    <w:rsid w:val="00FD34C5"/>
    <w:rsid w:val="00FE4BC2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2B8A1"/>
  <w15:docId w15:val="{82E1C995-C540-4557-B88C-29E366E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NewRoman,Italic" w:hAnsi="TimesNewRoman,Itali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Pedmtkomente">
    <w:name w:val="annotation subject"/>
    <w:basedOn w:val="Textkomente"/>
    <w:next w:val="Textkomente"/>
    <w:link w:val="PedmtkomenteChar"/>
    <w:rsid w:val="00094E8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094E8A"/>
    <w:rPr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rsid w:val="00094E8A"/>
    <w:rPr>
      <w:b/>
      <w:bCs/>
      <w:lang w:val="cs-CZ" w:eastAsia="en-US"/>
    </w:rPr>
  </w:style>
  <w:style w:type="paragraph" w:styleId="Odstavecseseznamem">
    <w:name w:val="List Paragraph"/>
    <w:basedOn w:val="Normln"/>
    <w:uiPriority w:val="34"/>
    <w:qFormat/>
    <w:rsid w:val="00204EDF"/>
    <w:pPr>
      <w:ind w:left="720"/>
      <w:contextualSpacing/>
    </w:pPr>
  </w:style>
  <w:style w:type="paragraph" w:styleId="Revize">
    <w:name w:val="Revision"/>
    <w:hidden/>
    <w:uiPriority w:val="99"/>
    <w:semiHidden/>
    <w:rsid w:val="00BC1040"/>
    <w:rPr>
      <w:sz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5522</Characters>
  <Application>Microsoft Office Word</Application>
  <DocSecurity>0</DocSecurity>
  <Lines>46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CS_qrd_veterinary template_v 8 cs</vt:lpstr>
      <vt:lpstr>CS_qrd_veterinary template_v 8 cs</vt:lpstr>
      <vt:lpstr>CS_qrd_veterinary template_v 8 cs</vt:lpstr>
    </vt:vector>
  </TitlesOfParts>
  <Company>Translation Centre</Company>
  <LinksUpToDate>false</LinksUpToDate>
  <CharactersWithSpaces>6445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3801155</vt:i4>
      </vt:variant>
      <vt:variant>
        <vt:i4>21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15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9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6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1507412</vt:i4>
      </vt:variant>
      <vt:variant>
        <vt:i4>3</vt:i4>
      </vt:variant>
      <vt:variant>
        <vt:i4>0</vt:i4>
      </vt:variant>
      <vt:variant>
        <vt:i4>5</vt:i4>
      </vt:variant>
      <vt:variant>
        <vt:lpwstr>http://www.edqm.eu/site/Procedure_Article_82doc-en-624-2.html</vt:lpwstr>
      </vt:variant>
      <vt:variant>
        <vt:lpwstr/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 cs</dc:title>
  <dc:subject>General-EMA/201220/2010</dc:subject>
  <dc:creator>Prizzi Monica</dc:creator>
  <cp:lastModifiedBy>Neugebauerová Kateřina</cp:lastModifiedBy>
  <cp:revision>4</cp:revision>
  <cp:lastPrinted>2025-09-15T10:37:00Z</cp:lastPrinted>
  <dcterms:created xsi:type="dcterms:W3CDTF">2025-09-11T12:55:00Z</dcterms:created>
  <dcterms:modified xsi:type="dcterms:W3CDTF">2025-09-15T10:37:00Z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CURRENT,2.2</vt:lpwstr>
  </property>
  <property fmtid="{D5CDD505-2E9C-101B-9397-08002B2CF9AE}" pid="31" name="DM_Name">
    <vt:lpwstr>CS_qrd_veterinary template_v 8 cs</vt:lpwstr>
  </property>
  <property fmtid="{D5CDD505-2E9C-101B-9397-08002B2CF9AE}" pid="32" name="DM_Creation_Date">
    <vt:lpwstr>30/10/2012 16:44:41</vt:lpwstr>
  </property>
  <property fmtid="{D5CDD505-2E9C-101B-9397-08002B2CF9AE}" pid="33" name="DM_Modify_Date">
    <vt:lpwstr>30/10/2012 17:00:55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30/10/2012 17:00:55</vt:lpwstr>
  </property>
</Properties>
</file>