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E50EF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bookmarkStart w:id="0" w:name="_GoBack"/>
      <w:bookmarkEnd w:id="0"/>
    </w:p>
    <w:p w14:paraId="4863BDF6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57B57B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7E1D18A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D3079D8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7BF1DBA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9E41C46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F1D69A4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66AABF9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554187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63A8E9A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F7D84D5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D5DC5E2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17D3529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B6D395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83E8BF7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28C3AC7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8B7B909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B4278D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021CF0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0F347A" w14:textId="5ED36E3B" w:rsidR="004054CB" w:rsidRPr="008F67BE" w:rsidRDefault="008F1D8A" w:rsidP="00405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 xml:space="preserve">B. </w:t>
      </w:r>
      <w:r w:rsidR="004054CB"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PŘÍBALOVÁ INFORMACE</w:t>
      </w:r>
    </w:p>
    <w:p w14:paraId="2E5D015E" w14:textId="77777777" w:rsidR="004054CB" w:rsidRPr="008F67BE" w:rsidRDefault="004054CB" w:rsidP="004054C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br w:type="page"/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lastRenderedPageBreak/>
        <w:t>PŘÍBALOVÁ INFORMACE</w:t>
      </w:r>
    </w:p>
    <w:p w14:paraId="410A2CD8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E672F10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785556D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Název veterinárního léčivého přípravku</w:t>
      </w:r>
    </w:p>
    <w:p w14:paraId="712AFD8D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94E0AF4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proofErr w:type="spellStart"/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Firodyl</w:t>
      </w:r>
      <w:proofErr w:type="spellEnd"/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62,5 mg žvýkací tablety pro psy</w:t>
      </w:r>
    </w:p>
    <w:p w14:paraId="6206E883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E12DA6F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4529CED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2.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Složení</w:t>
      </w:r>
    </w:p>
    <w:p w14:paraId="205B30AD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65672AFF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Každá tableta obsahuje:</w:t>
      </w:r>
    </w:p>
    <w:p w14:paraId="41E963C9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1A5E61E" w14:textId="2FC32BB5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Léčivé látky:</w:t>
      </w:r>
    </w:p>
    <w:p w14:paraId="4479ED68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Firocoxibum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62,5 mg</w:t>
      </w:r>
    </w:p>
    <w:p w14:paraId="149586D3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762108A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Béžová až světle hnědá, kulatá tableta ve tvaru jetelového listu s dvojitou dělící rýhou.</w:t>
      </w:r>
    </w:p>
    <w:p w14:paraId="18214757" w14:textId="12645EDC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Tablet</w:t>
      </w:r>
      <w:r w:rsidR="00AA46C7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y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lze dělit na čtyři stejné č</w:t>
      </w:r>
      <w:r w:rsidR="00AA46C7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tvrtiny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4FBA99D7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4ACA0A7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D9BEE73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3.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Cílové druhy zvířat</w:t>
      </w:r>
    </w:p>
    <w:p w14:paraId="52178C1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C653D4B" w14:textId="2F97E82D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Psi</w:t>
      </w:r>
    </w:p>
    <w:p w14:paraId="02ED4D47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4BA46FA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noProof/>
          <w:kern w:val="0"/>
          <w:szCs w:val="20"/>
          <w:lang w:val="cs-CZ"/>
          <w14:ligatures w14:val="none"/>
        </w:rPr>
        <w:drawing>
          <wp:inline distT="0" distB="0" distL="0" distR="0" wp14:anchorId="1093545F" wp14:editId="7F188BD0">
            <wp:extent cx="647700" cy="464820"/>
            <wp:effectExtent l="0" t="0" r="0" b="0"/>
            <wp:docPr id="15" name="Image 2106200708" descr="Une image contenant chien, silhouette, croquis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06200708" descr="Une image contenant chien, silhouette, croquis, mammifè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C8C7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BC0509C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BE1541A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4.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Indikace pro použití</w:t>
      </w:r>
    </w:p>
    <w:p w14:paraId="7E6444B4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7ACB6BB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K úlevě od bolesti a zánětu spojených s osteoartritidou u psů.</w:t>
      </w:r>
    </w:p>
    <w:p w14:paraId="67EB2230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K úlevě od pooperační bolesti a zánětu spojených s operacemi měkkých tkání, ortopedickými</w:t>
      </w:r>
    </w:p>
    <w:p w14:paraId="428B67C0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operacemi a dentálními chirurgickými zákroky u psů.</w:t>
      </w:r>
    </w:p>
    <w:p w14:paraId="79180232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9192303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46104D4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5.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Kontraindikace</w:t>
      </w:r>
    </w:p>
    <w:p w14:paraId="59031194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5C64F6D" w14:textId="71B2E069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Nepoužívat u březích fen </w:t>
      </w:r>
      <w:r w:rsidR="0075513A"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nebo</w:t>
      </w: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fen v laktaci.</w:t>
      </w:r>
    </w:p>
    <w:p w14:paraId="03E201B0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Nepoužívat u psů mladších 10 týdnů nebo s hmotností nižší než 3 kg.</w:t>
      </w:r>
    </w:p>
    <w:p w14:paraId="10675E6F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Nepoužívat u psů trpících gastrointestinálním krvácením, krevní dyskrazií nebo hemoragickými</w:t>
      </w:r>
    </w:p>
    <w:p w14:paraId="689E8337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poruchami.</w:t>
      </w:r>
    </w:p>
    <w:p w14:paraId="241CCC58" w14:textId="296D404F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Nepoužív</w:t>
      </w:r>
      <w:r w:rsidR="00702CEA"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a</w:t>
      </w: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 současně s kortikosteroidy nebo jinými nesteroidními antiflogistiky (</w:t>
      </w:r>
      <w:proofErr w:type="spellStart"/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NSAIDs</w:t>
      </w:r>
      <w:proofErr w:type="spellEnd"/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).</w:t>
      </w:r>
    </w:p>
    <w:p w14:paraId="7FD80D01" w14:textId="5F48ED1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Nepoužívat v případech přecitlivělosti na léčivou látku nebo na některou z pomocných látek.</w:t>
      </w:r>
    </w:p>
    <w:p w14:paraId="1E77D2A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5DA25AA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CE3DD66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6.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upozornění</w:t>
      </w:r>
    </w:p>
    <w:p w14:paraId="5CB16898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D06878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bezpečné použití u cílových druhů zvířat</w:t>
      </w: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1E8B217D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Vzhledem k ochucení tablet je nutné uchovávat je na bezpečném místě, mimo dosah zvířat.</w:t>
      </w:r>
    </w:p>
    <w:p w14:paraId="5A907626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Nepřekračujte doporučenou dávku uvedenou v dávkovacím schématu.</w:t>
      </w:r>
    </w:p>
    <w:p w14:paraId="7311836B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Rizikové je použití u velmi mladých zvířat nebo zvířat s podezřením na zhoršenou funkci ledvin, srdce</w:t>
      </w:r>
    </w:p>
    <w:p w14:paraId="01EB8421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nebo jater. Pokud je užití léku u těchto psů nevyhnutelné, potřebují pečlivý veterinární dohled.</w:t>
      </w:r>
    </w:p>
    <w:p w14:paraId="43389AF6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Nepoužívat u dehydrovaných,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hypovolemických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nebo hypotenzních psů, protože hrozí riziko zvýšení</w:t>
      </w:r>
    </w:p>
    <w:p w14:paraId="6D9DB951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renální toxicity.</w:t>
      </w:r>
    </w:p>
    <w:p w14:paraId="56DB431F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Je třeba vyhnout se současnému podávání potenciálně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nefrotoxických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přípravků.</w:t>
      </w:r>
    </w:p>
    <w:p w14:paraId="34AAEF47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lastRenderedPageBreak/>
        <w:t>U zvířat, u kterých existuje riziko gastrointestinálního krvácení, nebo zvířat, u nichž se v předchozí</w:t>
      </w:r>
    </w:p>
    <w:p w14:paraId="1D3544AF" w14:textId="29F3F711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době projevila nesnášenlivost k nesteroidním antiflogistikům, podávejte tento </w:t>
      </w:r>
      <w:r w:rsidR="00BA3BD4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 léčivý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přípravek pouze pod</w:t>
      </w:r>
      <w:r w:rsidR="00BA3BD4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přísným veterinárním dohledem. Ve velmi ojedinělých případech se u psů, kterým byla podána</w:t>
      </w:r>
      <w:r w:rsidR="00BA3BD4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doporučená léčebná dávka, objevily ledvinové a/nebo jaterní poruchy. Je možné, že značná část</w:t>
      </w:r>
      <w:r w:rsidR="00BA3BD4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takových případů měla subklinické ledvinové nebo jaterní poruchy před zahájením léčby. Proto se</w:t>
      </w:r>
      <w:r w:rsidR="00BA3BD4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doporučují příslušné laboratorní zkoušky ke zjištění základních ledvinových nebo jaterních</w:t>
      </w:r>
      <w:r w:rsidR="00BA3BD4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biochemických parametrů před a periodicky během podávání </w:t>
      </w:r>
      <w:r w:rsidR="00BA3BD4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přípravku.</w:t>
      </w:r>
    </w:p>
    <w:p w14:paraId="1F98B9B4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Přerušte léčbu, objeví-li se některý z těchto příznaků: opakující se průjem, zvracení, okultní krev ve</w:t>
      </w:r>
    </w:p>
    <w:p w14:paraId="4118F6D9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stolici, náhlý úbytek váhy, nechutenství, letargie, zhoršení biochemických parametrů funkce ledvin či</w:t>
      </w:r>
    </w:p>
    <w:p w14:paraId="75C2AF1B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jater.</w:t>
      </w:r>
    </w:p>
    <w:p w14:paraId="48C49B90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990CDC9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osobu, která podává veterinární léčivý přípravek zvířatům</w:t>
      </w: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03337622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Tento veterinární léčivý přípravek může být po náhodném požití škodlivý.</w:t>
      </w:r>
    </w:p>
    <w:p w14:paraId="6847AF38" w14:textId="0F5A1E9F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Aby se zabránilo přístupu dětí k</w:t>
      </w:r>
      <w:r w:rsidR="00F546C5"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veterinárnímu léčivému přípravku, měly by být tablety podávány a</w:t>
      </w:r>
      <w:r w:rsidR="00F546C5"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 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uchovány mimo dohled a dosah dětí. Rozpůlené nebo rozčtvrcené tablety by měly být vráceny do blistru a vloženy do vnějšího obalu.</w:t>
      </w:r>
    </w:p>
    <w:p w14:paraId="2119F261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Laboratorní studie na potkanech a králících prokázaly, že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firocoxib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může ovlivnit reprodukci a vyvolat</w:t>
      </w:r>
    </w:p>
    <w:p w14:paraId="36E633A3" w14:textId="097CFA32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malformace plodů. Těhotné ženy a ženy, které mají v úmyslu otěhotnět, by měly </w:t>
      </w:r>
      <w:r w:rsidR="00F546C5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léčivý přípravek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podávat</w:t>
      </w:r>
      <w:r w:rsidR="00F546C5"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obezřetně.</w:t>
      </w:r>
    </w:p>
    <w:p w14:paraId="3857CFDA" w14:textId="2E0461C2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 použití </w:t>
      </w:r>
      <w:r w:rsidR="00F546C5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přípravku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si umyjte ruce.</w:t>
      </w:r>
    </w:p>
    <w:p w14:paraId="1BCDBDA8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 případě náhodného požití jedné nebo více tablet, vyhledejte ihned lékařskou pomoc a ukažte</w:t>
      </w:r>
    </w:p>
    <w:p w14:paraId="3EF1993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příbalovou informaci nebo etiketu praktickému lékaři.</w:t>
      </w:r>
    </w:p>
    <w:p w14:paraId="5590B6BD" w14:textId="77777777" w:rsidR="004054CB" w:rsidRPr="008F67BE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</w:pPr>
    </w:p>
    <w:p w14:paraId="2BBF5AFC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Březost a laktace</w:t>
      </w: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671245B8" w14:textId="1A96F328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Nepoužívat u březích fen 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nebo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fen v laktaci.</w:t>
      </w:r>
    </w:p>
    <w:p w14:paraId="43098B52" w14:textId="5AEF7CB1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Laboratorní studie 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králí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ků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prokázaly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fetotoxické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účinky a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maternální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toxicitu při podávání dávky</w:t>
      </w:r>
    </w:p>
    <w:p w14:paraId="60329CB5" w14:textId="0C5C2E6A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přibližně stejné, jak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je doporučen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á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pro léčbu psů.</w:t>
      </w:r>
    </w:p>
    <w:p w14:paraId="10B2B66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30B6CEC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Interakce s jinými léčivými přípravky a další formy interakce</w:t>
      </w: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585E70BA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Předchozí léčba jinými protizánětlivými látkami může vyvolat další nebo zhoršené nežádoucí účinky.</w:t>
      </w:r>
    </w:p>
    <w:p w14:paraId="03256DC5" w14:textId="4244F30B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Mezi koncem předchozí léčby a zahájením léčby 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veterinárním léčivým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přípravkem je proto potřeba dodržet 24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hodinou pauzu. Při této pauze je nicméně nutné vzít v úvahu i farmakokinetické vlastnosti 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přípravku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podávaného v předchozí léčbě.</w:t>
      </w:r>
    </w:p>
    <w:p w14:paraId="4DF0D6B0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Tento veterinární léčivý přípravek nesmí být podáván spolu s jinými nesteroidními antiflogistiky nebo</w:t>
      </w:r>
    </w:p>
    <w:p w14:paraId="2B68F9A7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glukokortikosteroidy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753E52BB" w14:textId="6A2CC329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Kortikosteroidy mohou způsobit 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zhorš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ení vředů v gastrointestinálním traktu u zvířat, jimž jsou</w:t>
      </w:r>
    </w:p>
    <w:p w14:paraId="72F8D2AE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podávány nesteroidní protizánětlivé léky.</w:t>
      </w:r>
    </w:p>
    <w:p w14:paraId="4EB75C10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Souběžná léčba přípravky působícími na průchod látek ledvinami, např. diuretiky nebo inhibitory</w:t>
      </w:r>
    </w:p>
    <w:p w14:paraId="6B53BF95" w14:textId="2DF86442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enzym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konvertující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ho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angiotenzin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(ACE), je možná pouze pod klinickým dohledem. Vyhněte se</w:t>
      </w:r>
    </w:p>
    <w:p w14:paraId="06E994F1" w14:textId="2D2AF3D9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současnému podávání potenciálně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nefrotoxických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lé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čiv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z důvodu rizika toxického poškození ledvin.</w:t>
      </w:r>
    </w:p>
    <w:p w14:paraId="4A03A4E9" w14:textId="63D98453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Vzhledem k tomu, že anestetika mohou ovlivnit renální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perf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zi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 je doporučeno použití parenterální</w:t>
      </w:r>
    </w:p>
    <w:p w14:paraId="08DA63CD" w14:textId="31F58B94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infuzní terapie v průběhu chirurgick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ého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zákrok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z důvodu snížení potenciálního rizika renálních</w:t>
      </w:r>
    </w:p>
    <w:p w14:paraId="3D336B31" w14:textId="5C9664EA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komplikací, pokud jsou v průběhu operace současně použit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lé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čiva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ze skupiny NSAID (nesteroidní</w:t>
      </w:r>
    </w:p>
    <w:p w14:paraId="78A407B8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antiflogistika).</w:t>
      </w:r>
    </w:p>
    <w:p w14:paraId="47C924A4" w14:textId="10AA57E0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Současné užívání dalších 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léčiv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ých látek, které vykazují vysoký stupeň vazby na proteiny, může</w:t>
      </w:r>
    </w:p>
    <w:p w14:paraId="0A8F78BB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konkurovat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firokoxibu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při navázání, což může vést k toxickým účinkům.</w:t>
      </w:r>
    </w:p>
    <w:p w14:paraId="3D17468C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0FA2D92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Předávkování</w:t>
      </w: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58B3032B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 psů, kteří byli na začátku léčby ve věku 10 týdnů a byla jim po dobu 3 měsíců podávána dávka</w:t>
      </w:r>
    </w:p>
    <w:p w14:paraId="668D6D3F" w14:textId="71F9F14E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rovná nebo přesahující 25 mg/kg/den (5krát </w:t>
      </w:r>
      <w:proofErr w:type="gram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vyšší</w:t>
      </w:r>
      <w:proofErr w:type="gram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než je doporučená dávka), byly pozorovány</w:t>
      </w:r>
    </w:p>
    <w:p w14:paraId="5AA507EA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následující toxické příznaky: úbytek hmotnosti, snížený příjem krmiva, změny na játrech (hromadění</w:t>
      </w:r>
    </w:p>
    <w:p w14:paraId="082D89C8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tuku), na mozku (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vakuolizace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), ve dvanáctníku (vředy) a úhyn. Podobné klinické symptomy byly</w:t>
      </w:r>
    </w:p>
    <w:p w14:paraId="560B751A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pozorovány při podávání dávky rovné nebo vyšší než 15 mg/kg/den (3krát </w:t>
      </w:r>
      <w:proofErr w:type="gram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vyšší</w:t>
      </w:r>
      <w:proofErr w:type="gram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než je doporučená</w:t>
      </w:r>
    </w:p>
    <w:p w14:paraId="1098502C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dávka) po dobu šesti měsíců, ačkoliv vážnost a četnost příznaků byly nižší a neobjevily se vředy na</w:t>
      </w:r>
    </w:p>
    <w:p w14:paraId="3E4866C6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lastRenderedPageBreak/>
        <w:t>dvanáctníku.</w:t>
      </w:r>
    </w:p>
    <w:p w14:paraId="4433E896" w14:textId="7105A1A2" w:rsidR="00C905BE" w:rsidRPr="00242B6F" w:rsidRDefault="00C905BE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hAnsi="Times New Roman" w:cs="Times New Roman"/>
          <w:lang w:val="cs-CZ"/>
        </w:rPr>
        <w:t>V těchto studiích bezpečnosti u cílových zvířat byly klinické příznaky toxicity u některých psů po ukončení léčby reverzibilní.</w:t>
      </w:r>
    </w:p>
    <w:p w14:paraId="71508385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 psů, kteří byli na začátku léčby ve věku 7 měsíců a byli léčeni dávkou rovnou nebo vyšší než 25</w:t>
      </w:r>
    </w:p>
    <w:p w14:paraId="38D27CC1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mg/kg/den (5krát </w:t>
      </w:r>
      <w:proofErr w:type="gram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vyšší</w:t>
      </w:r>
      <w:proofErr w:type="gram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než je doporučená dávka) po dobu šesti měsíců, se objevily nežádoucí</w:t>
      </w:r>
    </w:p>
    <w:p w14:paraId="7E08C044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gastrointestinální účinky – bylo pozorováno zvracení.</w:t>
      </w:r>
    </w:p>
    <w:p w14:paraId="30C4EDD6" w14:textId="4AA53EF9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Studie zabývající se symptomy předávkování nebyly provedeny </w:t>
      </w:r>
      <w:r w:rsidR="00C905BE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zvířat starších 14 měsíců věku.</w:t>
      </w:r>
    </w:p>
    <w:p w14:paraId="0DE4EB69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Objeví-li se klinické symptomy předávkování, přerušte léčbu.</w:t>
      </w:r>
    </w:p>
    <w:p w14:paraId="2227C542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AC72B99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7.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Nežádoucí účinky</w:t>
      </w:r>
    </w:p>
    <w:p w14:paraId="75E0766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3F2A535C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Psi:</w:t>
      </w:r>
    </w:p>
    <w:p w14:paraId="55CCCE75" w14:textId="77777777" w:rsidR="004054CB" w:rsidRPr="008F67BE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4054CB" w:rsidRPr="008F67BE" w14:paraId="36F58110" w14:textId="77777777" w:rsidTr="00D3106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36C5" w14:textId="77777777" w:rsidR="004054CB" w:rsidRPr="008F67BE" w:rsidRDefault="004054CB" w:rsidP="00D31067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8F67BE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Méně časté</w:t>
            </w:r>
          </w:p>
          <w:p w14:paraId="3B56FC5B" w14:textId="77777777" w:rsidR="004054CB" w:rsidRPr="008F67BE" w:rsidRDefault="004054CB" w:rsidP="00D31067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8F67BE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(1 až 10 zvířat / 1 000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1244" w14:textId="77777777" w:rsidR="004054CB" w:rsidRPr="008F67BE" w:rsidRDefault="004054CB" w:rsidP="00D31067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Zvracení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1,2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, Průjem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1,5</w:t>
            </w:r>
          </w:p>
        </w:tc>
      </w:tr>
      <w:tr w:rsidR="004054CB" w:rsidRPr="008F67BE" w14:paraId="711BC53D" w14:textId="77777777" w:rsidTr="00D3106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0BCC" w14:textId="77777777" w:rsidR="004054CB" w:rsidRPr="008F67BE" w:rsidRDefault="004054CB" w:rsidP="00D31067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8F67BE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Vzácné</w:t>
            </w:r>
          </w:p>
          <w:p w14:paraId="56824170" w14:textId="77777777" w:rsidR="004054CB" w:rsidRPr="008F67BE" w:rsidRDefault="004054CB" w:rsidP="00D31067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8F67BE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(1 až 10 zvířat / 10 000 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4598" w14:textId="77777777" w:rsidR="004054CB" w:rsidRPr="008F67BE" w:rsidRDefault="004054CB" w:rsidP="00D31067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Poruchy nervového systému</w:t>
            </w:r>
          </w:p>
        </w:tc>
      </w:tr>
      <w:tr w:rsidR="004054CB" w:rsidRPr="008F67BE" w14:paraId="00C3F8D2" w14:textId="77777777" w:rsidTr="00D3106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9A03" w14:textId="77777777" w:rsidR="004054CB" w:rsidRPr="008F67BE" w:rsidRDefault="004054CB" w:rsidP="00D31067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8F67BE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Velmi vzácné</w:t>
            </w:r>
          </w:p>
          <w:p w14:paraId="01A351D1" w14:textId="77777777" w:rsidR="004054CB" w:rsidRPr="008F67BE" w:rsidRDefault="004054CB" w:rsidP="00D31067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8F67BE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618A" w14:textId="77777777" w:rsidR="004054CB" w:rsidRPr="008F67BE" w:rsidRDefault="004054CB" w:rsidP="00D31067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8F67BE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Poruchy ledvin</w:t>
            </w:r>
            <w:r w:rsidRPr="008F67BE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2,3</w:t>
            </w:r>
          </w:p>
          <w:p w14:paraId="4B58E830" w14:textId="77777777" w:rsidR="004054CB" w:rsidRPr="008F67BE" w:rsidRDefault="004054CB" w:rsidP="00D31067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8F67BE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Poruchy jater</w:t>
            </w:r>
            <w:r w:rsidRPr="008F67BE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2,3</w:t>
            </w:r>
          </w:p>
          <w:p w14:paraId="2CD064F6" w14:textId="77777777" w:rsidR="004054CB" w:rsidRPr="00242B6F" w:rsidRDefault="004054CB" w:rsidP="00D31067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Krev ve stolici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</w:p>
          <w:p w14:paraId="51BDFDF1" w14:textId="77777777" w:rsidR="004054CB" w:rsidRPr="00242B6F" w:rsidRDefault="004054CB" w:rsidP="00D31067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Anorexie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, Letargie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, Úbytek váhy</w:t>
            </w:r>
            <w:r w:rsidRPr="00242B6F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2,4</w:t>
            </w:r>
          </w:p>
        </w:tc>
      </w:tr>
    </w:tbl>
    <w:p w14:paraId="792D43D6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89067BF" w14:textId="406DA154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1</w:t>
      </w: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Dočasný charakter a odezní po </w:t>
      </w:r>
      <w:r w:rsidR="00CE0579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ukončení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léčby.</w:t>
      </w:r>
    </w:p>
    <w:p w14:paraId="36E8EB45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2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Objeví-li se nežádoucí reakce, podávání přípravku by mělo být zastaveno a je na místě konzultace s veterinárním lékařem.</w:t>
      </w:r>
    </w:p>
    <w:p w14:paraId="20968A96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3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Včetně zhoršení biochemických parametrů funkce ledvin či jater.</w:t>
      </w:r>
    </w:p>
    <w:p w14:paraId="4A4F7223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4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Náhlý.</w:t>
      </w:r>
    </w:p>
    <w:p w14:paraId="64DA73CB" w14:textId="48D2F718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5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Pokud se objeví opakovaně, je třeba léčbu přerušit a </w:t>
      </w:r>
      <w:r w:rsidR="00CE0579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kontaktovat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veterinárního lékaře.</w:t>
      </w:r>
    </w:p>
    <w:p w14:paraId="51F75AB7" w14:textId="77777777" w:rsidR="00CE0579" w:rsidRPr="00242B6F" w:rsidRDefault="00CE0579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0AC8023" w14:textId="77777777" w:rsidR="00CE0579" w:rsidRPr="00242B6F" w:rsidRDefault="00CE0579" w:rsidP="00CE0579">
      <w:pPr>
        <w:spacing w:line="240" w:lineRule="auto"/>
        <w:rPr>
          <w:lang w:val="cs-CZ"/>
        </w:rPr>
      </w:pPr>
      <w:r w:rsidRPr="00242B6F">
        <w:rPr>
          <w:lang w:val="cs-CZ"/>
        </w:rPr>
        <w:t>Jako u ostatních NSAID se mohou objevit ve velmi vzácných případech vážné nežádoucí účinky, které mohou být fatální.</w:t>
      </w:r>
    </w:p>
    <w:p w14:paraId="648AE17D" w14:textId="4972C507" w:rsidR="00CE0579" w:rsidRPr="008F67BE" w:rsidRDefault="00CE0579" w:rsidP="00657D9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bookmarkStart w:id="1" w:name="_Hlk184640527"/>
    </w:p>
    <w:p w14:paraId="298A67E8" w14:textId="3EF96189" w:rsidR="004054CB" w:rsidRPr="008F67BE" w:rsidRDefault="004054CB" w:rsidP="00657D9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p w14:paraId="001F988B" w14:textId="77777777" w:rsidR="00CE0579" w:rsidRPr="008F67BE" w:rsidRDefault="00CE0579" w:rsidP="00657D9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bookmarkEnd w:id="1"/>
    <w:p w14:paraId="3DC1006E" w14:textId="77777777" w:rsidR="004054CB" w:rsidRPr="008F67BE" w:rsidRDefault="004054CB" w:rsidP="00657D9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Ústav pro státní kontrolu veterinárních biopreparátů a léčiv </w:t>
      </w:r>
    </w:p>
    <w:p w14:paraId="303A4AF0" w14:textId="77777777" w:rsidR="004054CB" w:rsidRPr="008F67BE" w:rsidRDefault="004054CB" w:rsidP="00657D9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Hudcova 232/56 a </w:t>
      </w:r>
    </w:p>
    <w:p w14:paraId="47599DE6" w14:textId="77777777" w:rsidR="004054CB" w:rsidRPr="008F67BE" w:rsidRDefault="004054CB" w:rsidP="00657D9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621 00 Brno</w:t>
      </w:r>
    </w:p>
    <w:p w14:paraId="540B49AF" w14:textId="60BC1B03" w:rsidR="004054CB" w:rsidRPr="008F67BE" w:rsidRDefault="004054CB" w:rsidP="00657D9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E-mail: </w:t>
      </w:r>
      <w:hyperlink r:id="rId7" w:history="1">
        <w:r w:rsidR="00CE0579" w:rsidRPr="008F67BE">
          <w:rPr>
            <w:rStyle w:val="Hypertextovodkaz"/>
            <w:rFonts w:ascii="Times New Roman" w:eastAsia="Times New Roman" w:hAnsi="Times New Roman" w:cs="Times New Roman"/>
            <w:kern w:val="0"/>
            <w:lang w:val="cs-CZ"/>
            <w14:ligatures w14:val="none"/>
          </w:rPr>
          <w:t>adr@uskvbl.cz</w:t>
        </w:r>
      </w:hyperlink>
    </w:p>
    <w:p w14:paraId="027B82F4" w14:textId="1E7CB0BD" w:rsidR="00CE0579" w:rsidRPr="00242B6F" w:rsidRDefault="00CE0579" w:rsidP="00242B6F">
      <w:pPr>
        <w:spacing w:after="0"/>
        <w:rPr>
          <w:lang w:val="cs-CZ"/>
        </w:rPr>
      </w:pPr>
      <w:r w:rsidRPr="00242B6F">
        <w:rPr>
          <w:lang w:val="cs-CZ"/>
        </w:rPr>
        <w:t>Tel.: +420 720 940 693</w:t>
      </w:r>
    </w:p>
    <w:p w14:paraId="5016A334" w14:textId="77777777" w:rsidR="004054CB" w:rsidRPr="008F67BE" w:rsidRDefault="004054CB" w:rsidP="00CE0579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Webové stránky: </w:t>
      </w:r>
      <w:hyperlink r:id="rId8" w:history="1">
        <w:r w:rsidRPr="008F67BE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http://www.uskvbl.cz/cs/farmakovigilance</w:t>
        </w:r>
      </w:hyperlink>
    </w:p>
    <w:p w14:paraId="0F7FD98F" w14:textId="382EE906" w:rsidR="004054CB" w:rsidRPr="008F67BE" w:rsidRDefault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7AAE51D5" w14:textId="77777777" w:rsidR="00657D98" w:rsidRPr="008F67BE" w:rsidRDefault="00657D98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36CA0A5B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8.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Dávkování pro každý druh, cesty a způsob podání</w:t>
      </w:r>
    </w:p>
    <w:p w14:paraId="7FFC22D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6D28860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Perorální podání.</w:t>
      </w:r>
    </w:p>
    <w:p w14:paraId="55C689BD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9F00B6" w14:textId="309510F6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5 mg </w:t>
      </w:r>
      <w:proofErr w:type="spellStart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firokoxibu</w:t>
      </w:r>
      <w:proofErr w:type="spellEnd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/kg ž</w:t>
      </w:r>
      <w:r w:rsidR="00C905BE"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ivé hmotnosti</w:t>
      </w: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jedenkrát denně, jak je uvedeno níže v tabulce. </w:t>
      </w:r>
    </w:p>
    <w:p w14:paraId="3AEB12EB" w14:textId="48F28AE0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 úlevě od pooperační bolesti a zánětu</w:t>
      </w:r>
      <w:r w:rsidR="00A308BA"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může být</w:t>
      </w: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první dávka zvířatům podána přibližně 2 hodiny před operací a podává se 3 následující dny podle potřeb</w:t>
      </w:r>
      <w:r w:rsidR="00A308BA"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y</w:t>
      </w: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 Následně po ortopedické operaci a v závislosti na terapeutické odpovědi může léčba, respektující stejné denní dávkovací schéma, po prvních 3 dnech pokračovat, podle uvážení ošetřujícího veterinárního lékaře.</w:t>
      </w:r>
    </w:p>
    <w:p w14:paraId="6741A22D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tbl>
      <w:tblPr>
        <w:tblW w:w="8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7"/>
        <w:gridCol w:w="2008"/>
        <w:gridCol w:w="2529"/>
      </w:tblGrid>
      <w:tr w:rsidR="004054CB" w:rsidRPr="008F67BE" w14:paraId="4C84FD1A" w14:textId="77777777" w:rsidTr="00D31067">
        <w:trPr>
          <w:jc w:val="center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78C43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  <w:t>Živá hmotnost (kg)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2CCC01B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  <w:t>Počet tablet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3F29683" w14:textId="1BC68486" w:rsidR="004054CB" w:rsidRPr="00242B6F" w:rsidRDefault="00A308BA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  <w:t>Rozmezí dávky (</w:t>
            </w:r>
            <w:r w:rsidR="004054CB" w:rsidRPr="00242B6F"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  <w:t>mg/kg</w:t>
            </w:r>
            <w:r w:rsidRPr="00242B6F"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  <w:t xml:space="preserve"> ž. hm.)</w:t>
            </w:r>
          </w:p>
        </w:tc>
      </w:tr>
      <w:tr w:rsidR="004054CB" w:rsidRPr="008F67BE" w14:paraId="2DFD5621" w14:textId="77777777" w:rsidTr="00D31067">
        <w:trPr>
          <w:jc w:val="center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9C4C" w14:textId="77777777" w:rsidR="004054CB" w:rsidRPr="00242B6F" w:rsidRDefault="004054CB" w:rsidP="00D3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EDEE1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  <w:t>62,5 mg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964B0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  <w:t>250 mg</w:t>
            </w: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6CA9" w14:textId="77777777" w:rsidR="004054CB" w:rsidRPr="00242B6F" w:rsidRDefault="004054CB" w:rsidP="00D3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cs-CZ"/>
                <w14:ligatures w14:val="none"/>
              </w:rPr>
            </w:pPr>
          </w:p>
        </w:tc>
      </w:tr>
      <w:tr w:rsidR="004054CB" w:rsidRPr="008F67BE" w14:paraId="0BB6A058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DF572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3,1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FEDD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0,25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4637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9554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</w:t>
            </w:r>
          </w:p>
        </w:tc>
      </w:tr>
      <w:tr w:rsidR="004054CB" w:rsidRPr="008F67BE" w14:paraId="220B4AB1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07F0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3,2-6,2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7654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0,5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3CF9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E8BC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5,0-9,8</w:t>
            </w:r>
          </w:p>
        </w:tc>
      </w:tr>
      <w:tr w:rsidR="004054CB" w:rsidRPr="008F67BE" w14:paraId="2B9EF9B6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2C56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6,3-9,3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B663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0,75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B0F5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87B4C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5,0-7,4</w:t>
            </w:r>
          </w:p>
        </w:tc>
      </w:tr>
      <w:tr w:rsidR="004054CB" w:rsidRPr="008F67BE" w14:paraId="6CFF91E8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9290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9,4-12,5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950D0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E25BC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0,25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85E5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5,0-6,6</w:t>
            </w:r>
          </w:p>
        </w:tc>
      </w:tr>
      <w:tr w:rsidR="004054CB" w:rsidRPr="008F67BE" w14:paraId="55A4B080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D6AD1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12,6-15,5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9F62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1,25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22B4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44C3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5,0-6,2</w:t>
            </w:r>
          </w:p>
        </w:tc>
      </w:tr>
      <w:tr w:rsidR="004054CB" w:rsidRPr="008F67BE" w14:paraId="2AD64FC9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F92A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15,6-18,5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91DA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1,5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50FB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17F88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5,1-6,0</w:t>
            </w:r>
          </w:p>
        </w:tc>
      </w:tr>
      <w:tr w:rsidR="004054CB" w:rsidRPr="008F67BE" w14:paraId="6BC10862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FA184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18,6-21,5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3A71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1,75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D3B2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3AEB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5,1-5,9</w:t>
            </w:r>
          </w:p>
        </w:tc>
      </w:tr>
      <w:tr w:rsidR="004054CB" w:rsidRPr="008F67BE" w14:paraId="5AB7A57D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8E96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21,6-25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FB6B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EF311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0,5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F99B0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5,0-5,8</w:t>
            </w:r>
          </w:p>
        </w:tc>
      </w:tr>
      <w:tr w:rsidR="004054CB" w:rsidRPr="008F67BE" w14:paraId="138885CA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A139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25,1-37,5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E85E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41DC3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0,75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A3D9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5,0-7,5</w:t>
            </w:r>
          </w:p>
        </w:tc>
      </w:tr>
      <w:tr w:rsidR="004054CB" w:rsidRPr="008F67BE" w14:paraId="2137D6F7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5492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37,6-50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5C1A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1D0D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F39C4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5,0-6,6</w:t>
            </w:r>
          </w:p>
        </w:tc>
      </w:tr>
      <w:tr w:rsidR="004054CB" w:rsidRPr="008F67BE" w14:paraId="1AAB53E6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E957F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50,1-62,5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2C2F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DFB6F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1,25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3D4E7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5,0-6,2</w:t>
            </w:r>
          </w:p>
        </w:tc>
      </w:tr>
      <w:tr w:rsidR="004054CB" w:rsidRPr="008F67BE" w14:paraId="6858F561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57F3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62,6-75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E45C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8A85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1,5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FD5C7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5,0-6,0</w:t>
            </w:r>
          </w:p>
        </w:tc>
      </w:tr>
      <w:tr w:rsidR="004054CB" w:rsidRPr="008F67BE" w14:paraId="45F01C03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6C05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75,1-87,5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D73A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3BCFD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1,75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058F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5,0-5,8</w:t>
            </w:r>
          </w:p>
        </w:tc>
      </w:tr>
      <w:tr w:rsidR="004054CB" w:rsidRPr="008F67BE" w14:paraId="3B535CDC" w14:textId="77777777" w:rsidTr="00D31067">
        <w:trPr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697F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87,6-100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EEC5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0044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FE8D" w14:textId="77777777" w:rsidR="004054CB" w:rsidRPr="00242B6F" w:rsidRDefault="004054CB" w:rsidP="00D3106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242B6F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>5,0-5,7</w:t>
            </w:r>
          </w:p>
        </w:tc>
      </w:tr>
    </w:tbl>
    <w:p w14:paraId="081E4482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C36E7E0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Pro zajištění správného dávkování je třeba co nejpřesněji stanovit živou hmotnost.</w:t>
      </w:r>
    </w:p>
    <w:p w14:paraId="316A3C24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5391FAA8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249E71C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9.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Informace o správném podávání</w:t>
      </w:r>
    </w:p>
    <w:p w14:paraId="0833DC1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8900E31" w14:textId="321C0CBE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Žvýkací tablety jsou ochucené, tj. jsou obvykle </w:t>
      </w:r>
      <w:r w:rsidR="00AF0226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dobrovol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ně přijímány psy (</w:t>
      </w:r>
      <w:r w:rsidR="00AF0226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dobrovolný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příjem u 76 %</w:t>
      </w:r>
    </w:p>
    <w:p w14:paraId="597D367B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případů u studovaných zvířat). Tablety mohou být také podány přímo do tlamy.</w:t>
      </w:r>
    </w:p>
    <w:p w14:paraId="339FEDDE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Tablety mohou být podávány v krmivu i bez něj.</w:t>
      </w:r>
    </w:p>
    <w:p w14:paraId="48F1DE42" w14:textId="27632BAC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Pokyn k rozdělení tablety: Položte tabletu na rovný povrch stranou s</w:t>
      </w:r>
      <w:r w:rsidR="00C23CA9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 dělící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rýhou dolů k povrchu (konvexní</w:t>
      </w:r>
      <w:r w:rsidR="00C23CA9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stranou nahoru). Lehkým vertikálním tlakem špičkou </w:t>
      </w:r>
      <w:r w:rsidR="00AF0226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palce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na střed tablety rozlomíte tabletu po</w:t>
      </w:r>
      <w:r w:rsidR="00C23CA9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šířce na dvě poloviny. Chcete-li tabletu rozdělit na čtvrtiny, lehkým tlakem </w:t>
      </w:r>
      <w:r w:rsidR="00AF0226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palce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na střed jedné</w:t>
      </w:r>
      <w:r w:rsidR="00C23CA9"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poloviny ji rozlomíte na dvě části.</w:t>
      </w:r>
    </w:p>
    <w:p w14:paraId="01E863E5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Nepřekračujte doporučené dávky.</w:t>
      </w:r>
    </w:p>
    <w:p w14:paraId="4B4CFA78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Doba léčby závisí na pozorovaném účinku. Jelikož prováděné studie nepřesáhly 90 dnů, dlouhodobější léčba musí být dobře zvážena a vyžaduje pravidelnou veterinární kontrolu.</w:t>
      </w:r>
    </w:p>
    <w:p w14:paraId="6331A2DD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241DDE4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33EA32FE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10.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Ochranné lhůty</w:t>
      </w:r>
    </w:p>
    <w:p w14:paraId="3AB318D6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3CC9D1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Neuplatňuje se.</w:t>
      </w:r>
    </w:p>
    <w:p w14:paraId="5BB2480D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6183015F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79D893DE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11.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uchovávání</w:t>
      </w:r>
    </w:p>
    <w:p w14:paraId="04AD9D3E" w14:textId="77777777" w:rsidR="004054CB" w:rsidRPr="008F67BE" w:rsidRDefault="004054CB" w:rsidP="004054CB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3761517" w14:textId="77777777" w:rsidR="004054CB" w:rsidRPr="008F67BE" w:rsidRDefault="004054CB" w:rsidP="004054CB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Uchovávejte mimo dohled a dosah dětí.</w:t>
      </w:r>
    </w:p>
    <w:p w14:paraId="3413C45C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Tento veterinární léčivý přípravek nevyžaduje žádné zvláštní podmínky uchovávání.</w:t>
      </w:r>
    </w:p>
    <w:p w14:paraId="7560CF51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Zbylé nepoužité části tablet vraťte zpět do blistru a spotřebujte do 4 dnů.</w:t>
      </w:r>
    </w:p>
    <w:p w14:paraId="1DFE44B9" w14:textId="77777777" w:rsidR="004054CB" w:rsidRPr="008F67BE" w:rsidRDefault="004054CB" w:rsidP="004054CB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Nepoužívejte tento veterinární léčivý přípravek po uplynutí doby použitelnosti uvedené na krabičce po Exp. Doba použitelnosti končí posledním dnem v uvedeném měsíci.</w:t>
      </w:r>
    </w:p>
    <w:p w14:paraId="3E9F2F12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BDD926A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E46D448" w14:textId="77777777" w:rsidR="004054CB" w:rsidRPr="008F67BE" w:rsidRDefault="004054CB" w:rsidP="00657D98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12.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likvidaci</w:t>
      </w:r>
    </w:p>
    <w:p w14:paraId="7E4ABE05" w14:textId="77777777" w:rsidR="004054CB" w:rsidRPr="008F67BE" w:rsidRDefault="004054CB" w:rsidP="00657D98">
      <w:pPr>
        <w:keepNext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468CD5D" w14:textId="77777777" w:rsidR="004054CB" w:rsidRPr="008F67BE" w:rsidRDefault="004054CB" w:rsidP="00657D9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Léčivé přípravky se nesmí likvidovat prostřednictvím odpadní vody či domovního odpadu.</w:t>
      </w:r>
    </w:p>
    <w:p w14:paraId="139B32E4" w14:textId="77777777" w:rsidR="004054CB" w:rsidRPr="008F67BE" w:rsidRDefault="004054CB" w:rsidP="00657D9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3FC20F5" w14:textId="77777777" w:rsidR="004054CB" w:rsidRPr="008F67BE" w:rsidRDefault="004054CB" w:rsidP="00657D9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A891F76" w14:textId="77777777" w:rsidR="004054CB" w:rsidRPr="008F67BE" w:rsidRDefault="004054CB" w:rsidP="00657D9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988BE25" w14:textId="77777777" w:rsidR="004054CB" w:rsidRPr="008F67BE" w:rsidRDefault="004054CB" w:rsidP="00657D9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 možnostech likvidace nepotřebných léčivých přípravků se poraďte s vaším veterinárním lékařem nebo lékárníkem.</w:t>
      </w:r>
    </w:p>
    <w:p w14:paraId="4DF367D5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cs-CZ"/>
          <w14:ligatures w14:val="none"/>
        </w:rPr>
      </w:pPr>
    </w:p>
    <w:p w14:paraId="0DE340C8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cs-CZ"/>
          <w14:ligatures w14:val="none"/>
        </w:rPr>
      </w:pPr>
    </w:p>
    <w:p w14:paraId="6238E96F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13.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Klasifikace veterinárních léčivých přípravků</w:t>
      </w:r>
    </w:p>
    <w:p w14:paraId="3C602AA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052298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léčivý přípravek je vydáván pouze na předpis.</w:t>
      </w:r>
    </w:p>
    <w:p w14:paraId="7B0F20F6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E707B2D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C321FEE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14.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Registrační čísla a velikosti balení</w:t>
      </w:r>
    </w:p>
    <w:p w14:paraId="79FF91DF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C8C22DA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96/005/</w:t>
      </w:r>
      <w:proofErr w:type="gram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20-C</w:t>
      </w:r>
      <w:proofErr w:type="gramEnd"/>
    </w:p>
    <w:p w14:paraId="0721F55E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CEC767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Velikosti balení:</w:t>
      </w:r>
    </w:p>
    <w:p w14:paraId="63C4935B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Papírová krabička obsahující 12, 36 nebo 96 tablet.</w:t>
      </w:r>
    </w:p>
    <w:p w14:paraId="0755FB34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0892B803" w14:textId="77777777" w:rsidR="004054CB" w:rsidRPr="00242B6F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Na trhu nemusí být všechny velikosti balení.</w:t>
      </w:r>
    </w:p>
    <w:p w14:paraId="7FA9EE74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52DCE27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94A8B4E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15.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Datum poslední revize příbalové informace</w:t>
      </w:r>
    </w:p>
    <w:p w14:paraId="7BCF00B4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F5B03A2" w14:textId="67E85996" w:rsidR="004054CB" w:rsidRPr="008F67BE" w:rsidRDefault="008F67BE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11</w:t>
      </w:r>
      <w:r w:rsidR="00AF0226"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/2025</w:t>
      </w:r>
    </w:p>
    <w:p w14:paraId="71A73CA2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7CE0A70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Podrobné informace o tomto veterinárním léčivém přípravku jsou k dispozici v databázi přípravků Unie </w:t>
      </w: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(</w:t>
      </w:r>
      <w:hyperlink r:id="rId9" w:history="1">
        <w:r w:rsidRPr="008F67BE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https://medicines.health.europa.eu/veterinary</w:t>
        </w:r>
      </w:hyperlink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767340A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E834771" w14:textId="208579A9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Podrobné informace o tomto veterinárním léčivém přípravku naleznete také v národní databázi (</w:t>
      </w:r>
      <w:hyperlink r:id="rId10" w:history="1">
        <w:r w:rsidR="00AF0226" w:rsidRPr="008F67BE">
          <w:rPr>
            <w:rStyle w:val="Hypertextovodkaz"/>
            <w:rFonts w:ascii="Times New Roman" w:eastAsia="Times New Roman" w:hAnsi="Times New Roman" w:cs="Times New Roman"/>
            <w:kern w:val="0"/>
            <w:lang w:val="cs-CZ"/>
            <w14:ligatures w14:val="none"/>
          </w:rPr>
          <w:t>https://www.uskvbl.cz</w:t>
        </w:r>
      </w:hyperlink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4D5883B4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7C17F6F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542A682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16.</w:t>
      </w:r>
      <w:r w:rsidRPr="008F67BE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Kontaktní údaje</w:t>
      </w:r>
    </w:p>
    <w:p w14:paraId="58FA9341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FF01023" w14:textId="77777777" w:rsidR="004054CB" w:rsidRPr="008F67BE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bookmarkStart w:id="2" w:name="_Hlk73552578"/>
      <w:r w:rsidRPr="008F67BE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>Držitel rozhodnutí o registraci a kontaktní údaje pro hlášení podezření na nežádoucí účinky</w:t>
      </w: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bookmarkEnd w:id="2"/>
    <w:p w14:paraId="57A7DB4A" w14:textId="77777777" w:rsidR="004054CB" w:rsidRPr="008F67BE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proofErr w:type="spellStart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Ceva</w:t>
      </w:r>
      <w:proofErr w:type="spellEnd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Santé</w:t>
      </w:r>
      <w:proofErr w:type="spellEnd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Animale, </w:t>
      </w:r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8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rue</w:t>
      </w:r>
      <w:proofErr w:type="spellEnd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de </w:t>
      </w:r>
      <w:proofErr w:type="spellStart"/>
      <w:r w:rsidRPr="00242B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Logrono</w:t>
      </w:r>
      <w:proofErr w:type="spellEnd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, 33500 </w:t>
      </w:r>
      <w:proofErr w:type="spellStart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Libourne</w:t>
      </w:r>
      <w:proofErr w:type="spellEnd"/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 Francie</w:t>
      </w:r>
    </w:p>
    <w:p w14:paraId="5D949826" w14:textId="77777777" w:rsidR="004054CB" w:rsidRPr="008F67BE" w:rsidRDefault="004054CB" w:rsidP="004054C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Tel: 00 800 35 22 11 51, Email: </w:t>
      </w:r>
      <w:hyperlink r:id="rId11" w:history="1">
        <w:r w:rsidRPr="008F67BE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pharmacovigilance@ceva.com</w:t>
        </w:r>
      </w:hyperlink>
      <w:r w:rsidRPr="008F67BE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, </w:t>
      </w:r>
      <w:hyperlink r:id="rId12" w:history="1">
        <w:r w:rsidRPr="008F67BE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ceva@ceva-ah.sk</w:t>
        </w:r>
      </w:hyperlink>
    </w:p>
    <w:p w14:paraId="289DC3B8" w14:textId="77777777" w:rsidR="004054CB" w:rsidRPr="008F67BE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u w:val="single"/>
          <w:lang w:val="cs-CZ"/>
          <w14:ligatures w14:val="none"/>
        </w:rPr>
      </w:pPr>
    </w:p>
    <w:p w14:paraId="476A427C" w14:textId="77777777" w:rsidR="004054CB" w:rsidRPr="008F67BE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Cs/>
          <w:kern w:val="0"/>
          <w:u w:val="single"/>
          <w:lang w:val="cs-CZ"/>
          <w14:ligatures w14:val="none"/>
        </w:rPr>
        <w:t>Výrobce odpovědný za uvolnění šarže</w:t>
      </w:r>
      <w:r w:rsidRPr="008F67BE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: </w:t>
      </w:r>
    </w:p>
    <w:p w14:paraId="52856451" w14:textId="77777777" w:rsidR="004054CB" w:rsidRPr="00242B6F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proofErr w:type="spellStart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Ceva</w:t>
      </w:r>
      <w:proofErr w:type="spellEnd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</w:t>
      </w:r>
      <w:proofErr w:type="spellStart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Santé</w:t>
      </w:r>
      <w:proofErr w:type="spellEnd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Animale</w:t>
      </w:r>
    </w:p>
    <w:p w14:paraId="62664606" w14:textId="77777777" w:rsidR="004054CB" w:rsidRPr="00242B6F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proofErr w:type="spellStart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Boulevard</w:t>
      </w:r>
      <w:proofErr w:type="spellEnd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de la </w:t>
      </w:r>
      <w:proofErr w:type="spellStart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communication</w:t>
      </w:r>
      <w:proofErr w:type="spellEnd"/>
    </w:p>
    <w:p w14:paraId="089942C7" w14:textId="77777777" w:rsidR="004054CB" w:rsidRPr="00242B6F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proofErr w:type="spellStart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Zone</w:t>
      </w:r>
      <w:proofErr w:type="spellEnd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</w:t>
      </w:r>
      <w:proofErr w:type="spellStart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Autoroutière</w:t>
      </w:r>
      <w:proofErr w:type="spellEnd"/>
    </w:p>
    <w:p w14:paraId="7AA383A9" w14:textId="77777777" w:rsidR="004054CB" w:rsidRPr="00242B6F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53950 </w:t>
      </w:r>
      <w:proofErr w:type="spellStart"/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Louverne</w:t>
      </w:r>
      <w:proofErr w:type="spellEnd"/>
    </w:p>
    <w:p w14:paraId="6DFEF383" w14:textId="77777777" w:rsidR="004054CB" w:rsidRPr="008F67BE" w:rsidRDefault="004054CB" w:rsidP="004054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242B6F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Francie</w:t>
      </w:r>
    </w:p>
    <w:p w14:paraId="68D0D203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</w:pPr>
    </w:p>
    <w:p w14:paraId="2E15ACCF" w14:textId="77777777" w:rsidR="004054CB" w:rsidRPr="008F67BE" w:rsidRDefault="004054CB" w:rsidP="004054C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17.</w:t>
      </w:r>
      <w:r w:rsidRPr="008F67BE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ab/>
        <w:t>Další informace</w:t>
      </w:r>
    </w:p>
    <w:p w14:paraId="22E5EFC4" w14:textId="77777777" w:rsidR="00AA0D57" w:rsidRPr="00242B6F" w:rsidRDefault="00AA0D57">
      <w:pPr>
        <w:rPr>
          <w:lang w:val="cs-CZ"/>
        </w:rPr>
      </w:pPr>
    </w:p>
    <w:sectPr w:rsidR="00AA0D57" w:rsidRPr="00242B6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C061D" w14:textId="77777777" w:rsidR="00827E1B" w:rsidRDefault="00827E1B" w:rsidP="006728DC">
      <w:pPr>
        <w:spacing w:after="0" w:line="240" w:lineRule="auto"/>
      </w:pPr>
      <w:r>
        <w:separator/>
      </w:r>
    </w:p>
  </w:endnote>
  <w:endnote w:type="continuationSeparator" w:id="0">
    <w:p w14:paraId="0CB6CBE7" w14:textId="77777777" w:rsidR="00827E1B" w:rsidRDefault="00827E1B" w:rsidP="0067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59241" w14:textId="77777777" w:rsidR="00827E1B" w:rsidRDefault="00827E1B" w:rsidP="006728DC">
      <w:pPr>
        <w:spacing w:after="0" w:line="240" w:lineRule="auto"/>
      </w:pPr>
      <w:r>
        <w:separator/>
      </w:r>
    </w:p>
  </w:footnote>
  <w:footnote w:type="continuationSeparator" w:id="0">
    <w:p w14:paraId="5AE4AEBE" w14:textId="77777777" w:rsidR="00827E1B" w:rsidRDefault="00827E1B" w:rsidP="0067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C9A6" w14:textId="50506855" w:rsidR="006728DC" w:rsidRDefault="006728DC" w:rsidP="006728DC">
    <w:r>
      <w:t xml:space="preserve"> </w:t>
    </w:r>
  </w:p>
  <w:p w14:paraId="1D45CACB" w14:textId="77777777" w:rsidR="006728DC" w:rsidRDefault="006728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27"/>
    <w:rsid w:val="00123CD4"/>
    <w:rsid w:val="00242B6F"/>
    <w:rsid w:val="002B3527"/>
    <w:rsid w:val="004054CB"/>
    <w:rsid w:val="00423B8A"/>
    <w:rsid w:val="004A4684"/>
    <w:rsid w:val="004F0D13"/>
    <w:rsid w:val="005C1EDA"/>
    <w:rsid w:val="00657D98"/>
    <w:rsid w:val="006728DC"/>
    <w:rsid w:val="00695E1D"/>
    <w:rsid w:val="006A4E59"/>
    <w:rsid w:val="006F4504"/>
    <w:rsid w:val="00702CEA"/>
    <w:rsid w:val="0075513A"/>
    <w:rsid w:val="00815F6B"/>
    <w:rsid w:val="00825B6B"/>
    <w:rsid w:val="00827E1B"/>
    <w:rsid w:val="008557EC"/>
    <w:rsid w:val="008F1D8A"/>
    <w:rsid w:val="008F67BE"/>
    <w:rsid w:val="009C7A29"/>
    <w:rsid w:val="00A308BA"/>
    <w:rsid w:val="00AA0D57"/>
    <w:rsid w:val="00AA46C7"/>
    <w:rsid w:val="00AF0226"/>
    <w:rsid w:val="00B91625"/>
    <w:rsid w:val="00BA3BD4"/>
    <w:rsid w:val="00C23CA9"/>
    <w:rsid w:val="00C64CBA"/>
    <w:rsid w:val="00C761DE"/>
    <w:rsid w:val="00C905BE"/>
    <w:rsid w:val="00CE0579"/>
    <w:rsid w:val="00D13299"/>
    <w:rsid w:val="00DF31C9"/>
    <w:rsid w:val="00EB17C9"/>
    <w:rsid w:val="00F35594"/>
    <w:rsid w:val="00F45444"/>
    <w:rsid w:val="00F5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75E0"/>
  <w15:chartTrackingRefBased/>
  <w15:docId w15:val="{EF616C82-F4BB-4B3C-A7F2-F9253BFE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54CB"/>
  </w:style>
  <w:style w:type="paragraph" w:styleId="Nadpis1">
    <w:name w:val="heading 1"/>
    <w:basedOn w:val="Normln"/>
    <w:next w:val="Normln"/>
    <w:link w:val="Nadpis1Char"/>
    <w:uiPriority w:val="9"/>
    <w:qFormat/>
    <w:rsid w:val="002B3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3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5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5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5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5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5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5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3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3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3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35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35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35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3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5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35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7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8DC"/>
  </w:style>
  <w:style w:type="paragraph" w:styleId="Zpat">
    <w:name w:val="footer"/>
    <w:basedOn w:val="Normln"/>
    <w:link w:val="ZpatChar"/>
    <w:uiPriority w:val="99"/>
    <w:unhideWhenUsed/>
    <w:rsid w:val="0067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8DC"/>
  </w:style>
  <w:style w:type="paragraph" w:styleId="Textbubliny">
    <w:name w:val="Balloon Text"/>
    <w:basedOn w:val="Normln"/>
    <w:link w:val="TextbublinyChar"/>
    <w:uiPriority w:val="99"/>
    <w:semiHidden/>
    <w:unhideWhenUsed/>
    <w:rsid w:val="005C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ED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02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r@uskvbl.cz" TargetMode="External"/><Relationship Id="rId12" Type="http://schemas.openxmlformats.org/officeDocument/2006/relationships/hyperlink" Target="mailto:ceva@ceva-ah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harmacovigilance@ceva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23</cp:revision>
  <dcterms:created xsi:type="dcterms:W3CDTF">2025-09-19T12:56:00Z</dcterms:created>
  <dcterms:modified xsi:type="dcterms:W3CDTF">2025-11-13T13:22:00Z</dcterms:modified>
</cp:coreProperties>
</file>