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F7BD" w14:textId="5422BCE3" w:rsidR="00C114FF" w:rsidRPr="00B41D57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C42226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C42226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42226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D4ED91" w14:textId="08DC10F6" w:rsidR="004C682B" w:rsidRDefault="004C682B" w:rsidP="004C682B">
      <w:pPr>
        <w:tabs>
          <w:tab w:val="clear" w:pos="567"/>
        </w:tabs>
        <w:spacing w:line="240" w:lineRule="auto"/>
      </w:pPr>
      <w:r w:rsidRPr="004E3904">
        <w:t>Apravet 552</w:t>
      </w:r>
      <w:r>
        <w:t xml:space="preserve"> 000</w:t>
      </w:r>
      <w:r w:rsidRPr="004E3904">
        <w:t xml:space="preserve"> IU/g prášek pro podání v pitné vodě/mléce pro prasata, telata, </w:t>
      </w:r>
      <w:r w:rsidR="00587340">
        <w:t>kura domácího</w:t>
      </w:r>
      <w:r w:rsidR="00587340" w:rsidRPr="004E3904">
        <w:t xml:space="preserve"> </w:t>
      </w:r>
      <w:r w:rsidRPr="004E3904">
        <w:t>a králíky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C42226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94B3D6" w14:textId="35B69E2A" w:rsidR="004C682B" w:rsidRPr="006C44C5" w:rsidRDefault="000F1E6B" w:rsidP="004C682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Každý </w:t>
      </w:r>
      <w:r w:rsidR="004C682B">
        <w:rPr>
          <w:szCs w:val="22"/>
        </w:rPr>
        <w:t>g obsahuje:</w:t>
      </w:r>
    </w:p>
    <w:p w14:paraId="2CC3F894" w14:textId="77777777" w:rsidR="004C682B" w:rsidRPr="00462603" w:rsidRDefault="004C682B" w:rsidP="004C682B">
      <w:pPr>
        <w:tabs>
          <w:tab w:val="clear" w:pos="567"/>
        </w:tabs>
        <w:spacing w:line="240" w:lineRule="auto"/>
        <w:rPr>
          <w:szCs w:val="22"/>
        </w:rPr>
      </w:pPr>
    </w:p>
    <w:p w14:paraId="75240574" w14:textId="29E14BE0" w:rsidR="004C682B" w:rsidRPr="004E3904" w:rsidRDefault="004C682B" w:rsidP="004C682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4E3904">
        <w:rPr>
          <w:b/>
          <w:bCs/>
          <w:szCs w:val="22"/>
        </w:rPr>
        <w:t>Léčiv</w:t>
      </w:r>
      <w:r w:rsidR="000F1E6B">
        <w:rPr>
          <w:b/>
          <w:bCs/>
          <w:szCs w:val="22"/>
        </w:rPr>
        <w:t>é</w:t>
      </w:r>
      <w:r w:rsidRPr="004E3904">
        <w:rPr>
          <w:b/>
          <w:bCs/>
          <w:szCs w:val="22"/>
        </w:rPr>
        <w:t xml:space="preserve"> látk</w:t>
      </w:r>
      <w:r w:rsidR="000F1E6B">
        <w:rPr>
          <w:b/>
          <w:bCs/>
          <w:szCs w:val="22"/>
        </w:rPr>
        <w:t>y</w:t>
      </w:r>
      <w:r w:rsidRPr="004E3904">
        <w:rPr>
          <w:b/>
          <w:bCs/>
          <w:szCs w:val="22"/>
        </w:rPr>
        <w:t>:</w:t>
      </w:r>
    </w:p>
    <w:p w14:paraId="01F21C1F" w14:textId="4328A139" w:rsidR="004C682B" w:rsidRPr="006C44C5" w:rsidRDefault="004C682B" w:rsidP="004C682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Apramycini sulfas</w:t>
      </w:r>
      <w:r>
        <w:tab/>
      </w:r>
      <w:r>
        <w:tab/>
      </w:r>
      <w:r>
        <w:tab/>
      </w:r>
      <w:r>
        <w:tab/>
      </w:r>
      <w:r>
        <w:rPr>
          <w:szCs w:val="22"/>
        </w:rPr>
        <w:t>552 000 IU</w:t>
      </w:r>
    </w:p>
    <w:p w14:paraId="402D70CF" w14:textId="77777777" w:rsidR="004C682B" w:rsidRPr="00EB25BE" w:rsidRDefault="004C682B" w:rsidP="004C682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56EC5A" w14:textId="08BDE12D" w:rsidR="004C682B" w:rsidRPr="00B41D57" w:rsidRDefault="004C682B" w:rsidP="004C682B">
      <w:pPr>
        <w:tabs>
          <w:tab w:val="clear" w:pos="567"/>
        </w:tabs>
        <w:spacing w:line="240" w:lineRule="auto"/>
        <w:rPr>
          <w:szCs w:val="22"/>
        </w:rPr>
      </w:pPr>
      <w:r w:rsidRPr="006A15A8">
        <w:rPr>
          <w:szCs w:val="22"/>
        </w:rPr>
        <w:t>Bělavý až žlutý prášek</w:t>
      </w:r>
    </w:p>
    <w:p w14:paraId="2F4AA47A" w14:textId="77777777" w:rsidR="004C682B" w:rsidRPr="00B41D57" w:rsidRDefault="004C682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C42226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2203F9" w14:textId="3FFE7252" w:rsidR="000C0265" w:rsidRPr="00B41D57" w:rsidRDefault="000C0265" w:rsidP="00A9226B">
      <w:pPr>
        <w:tabs>
          <w:tab w:val="clear" w:pos="567"/>
        </w:tabs>
        <w:spacing w:line="240" w:lineRule="auto"/>
        <w:rPr>
          <w:szCs w:val="22"/>
        </w:rPr>
      </w:pPr>
      <w:r w:rsidRPr="006A15A8">
        <w:rPr>
          <w:szCs w:val="22"/>
        </w:rPr>
        <w:t>Prasata (</w:t>
      </w:r>
      <w:r w:rsidR="003C7D94">
        <w:rPr>
          <w:szCs w:val="22"/>
        </w:rPr>
        <w:t>po odstavu</w:t>
      </w:r>
      <w:r w:rsidRPr="006A15A8">
        <w:rPr>
          <w:szCs w:val="22"/>
        </w:rPr>
        <w:t xml:space="preserve">), skot (neruminující telata), </w:t>
      </w:r>
      <w:r w:rsidR="003C7D94">
        <w:rPr>
          <w:szCs w:val="22"/>
        </w:rPr>
        <w:t>kur domácí</w:t>
      </w:r>
      <w:r w:rsidR="003C7D94" w:rsidRPr="006A15A8">
        <w:rPr>
          <w:szCs w:val="22"/>
        </w:rPr>
        <w:t xml:space="preserve"> </w:t>
      </w:r>
      <w:r w:rsidRPr="006A15A8">
        <w:rPr>
          <w:szCs w:val="22"/>
        </w:rPr>
        <w:t>(brojleři) a králíci.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C42226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7B3926" w14:textId="55F14515" w:rsidR="004B6E31" w:rsidRPr="00EB25BE" w:rsidRDefault="004B6E31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Prasata (</w:t>
      </w:r>
      <w:r w:rsidR="00562A97">
        <w:rPr>
          <w:szCs w:val="22"/>
          <w:u w:val="single"/>
        </w:rPr>
        <w:t>po odstavu</w:t>
      </w:r>
      <w:r>
        <w:rPr>
          <w:szCs w:val="22"/>
          <w:u w:val="single"/>
        </w:rPr>
        <w:t>)</w:t>
      </w:r>
      <w:r>
        <w:rPr>
          <w:szCs w:val="22"/>
        </w:rPr>
        <w:t xml:space="preserve">: Léčba bakteriální enteritidy vyvolané </w:t>
      </w:r>
      <w:r w:rsidR="00562A97">
        <w:rPr>
          <w:szCs w:val="22"/>
        </w:rPr>
        <w:t xml:space="preserve">kmeny </w:t>
      </w:r>
      <w:r>
        <w:rPr>
          <w:i/>
          <w:szCs w:val="22"/>
        </w:rPr>
        <w:t>Escherichia coli</w:t>
      </w:r>
      <w:r w:rsidR="00562A97">
        <w:rPr>
          <w:i/>
          <w:szCs w:val="22"/>
        </w:rPr>
        <w:t xml:space="preserve"> </w:t>
      </w:r>
      <w:r w:rsidR="00562A97" w:rsidRPr="00562A97">
        <w:rPr>
          <w:szCs w:val="22"/>
        </w:rPr>
        <w:t xml:space="preserve">citlivými </w:t>
      </w:r>
      <w:r>
        <w:rPr>
          <w:szCs w:val="22"/>
        </w:rPr>
        <w:t>k apramycinu.</w:t>
      </w:r>
    </w:p>
    <w:p w14:paraId="654C6129" w14:textId="77777777" w:rsidR="004B6E31" w:rsidRDefault="004B6E31" w:rsidP="00DC2CA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3E385390" w14:textId="47953A00" w:rsidR="004B6E31" w:rsidRPr="00EB25BE" w:rsidRDefault="004B6E31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Skot (neruminující telata)</w:t>
      </w:r>
      <w:r>
        <w:rPr>
          <w:szCs w:val="22"/>
        </w:rPr>
        <w:t xml:space="preserve">: Léčba bakteriální enteritidy vyvolané </w:t>
      </w:r>
      <w:r w:rsidR="00562A97">
        <w:rPr>
          <w:szCs w:val="22"/>
        </w:rPr>
        <w:t xml:space="preserve">kmeny </w:t>
      </w:r>
      <w:r>
        <w:rPr>
          <w:i/>
          <w:szCs w:val="22"/>
        </w:rPr>
        <w:t>Escherichia coli</w:t>
      </w:r>
      <w:r>
        <w:rPr>
          <w:szCs w:val="22"/>
        </w:rPr>
        <w:t xml:space="preserve"> a </w:t>
      </w:r>
      <w:r w:rsidR="00CE5D52">
        <w:rPr>
          <w:szCs w:val="22"/>
        </w:rPr>
        <w:t>klinických ohnisek</w:t>
      </w:r>
      <w:r>
        <w:rPr>
          <w:szCs w:val="22"/>
        </w:rPr>
        <w:t xml:space="preserve"> vyvolan</w:t>
      </w:r>
      <w:r w:rsidR="00CE5D52">
        <w:rPr>
          <w:szCs w:val="22"/>
        </w:rPr>
        <w:t>ých</w:t>
      </w:r>
      <w:r>
        <w:rPr>
          <w:szCs w:val="22"/>
        </w:rPr>
        <w:t xml:space="preserve"> </w:t>
      </w:r>
      <w:r>
        <w:rPr>
          <w:i/>
          <w:szCs w:val="22"/>
        </w:rPr>
        <w:t xml:space="preserve">Salmonella enterica </w:t>
      </w:r>
      <w:r>
        <w:rPr>
          <w:szCs w:val="22"/>
        </w:rPr>
        <w:t>subsp.</w:t>
      </w:r>
      <w:r>
        <w:rPr>
          <w:i/>
          <w:szCs w:val="22"/>
        </w:rPr>
        <w:t xml:space="preserve"> enterica </w:t>
      </w:r>
      <w:r>
        <w:rPr>
          <w:szCs w:val="22"/>
        </w:rPr>
        <w:t>sérotyp Dublin</w:t>
      </w:r>
      <w:r>
        <w:rPr>
          <w:i/>
          <w:szCs w:val="22"/>
        </w:rPr>
        <w:t xml:space="preserve"> (Salmonella </w:t>
      </w:r>
      <w:r>
        <w:rPr>
          <w:szCs w:val="22"/>
        </w:rPr>
        <w:t>Dublin</w:t>
      </w:r>
      <w:r>
        <w:rPr>
          <w:i/>
          <w:szCs w:val="22"/>
        </w:rPr>
        <w:t xml:space="preserve">) </w:t>
      </w:r>
      <w:r>
        <w:rPr>
          <w:szCs w:val="22"/>
        </w:rPr>
        <w:t>citlivé</w:t>
      </w:r>
      <w:r>
        <w:rPr>
          <w:i/>
          <w:szCs w:val="22"/>
        </w:rPr>
        <w:t xml:space="preserve"> </w:t>
      </w:r>
      <w:r>
        <w:rPr>
          <w:szCs w:val="22"/>
        </w:rPr>
        <w:t xml:space="preserve">k apramycinu. Léčba </w:t>
      </w:r>
      <w:r w:rsidR="00562A97">
        <w:rPr>
          <w:szCs w:val="22"/>
        </w:rPr>
        <w:t xml:space="preserve">by měla </w:t>
      </w:r>
      <w:r>
        <w:rPr>
          <w:szCs w:val="22"/>
        </w:rPr>
        <w:t xml:space="preserve">být založena na předchozím potvrzení sérotypů </w:t>
      </w:r>
      <w:r w:rsidRPr="00462603">
        <w:rPr>
          <w:i/>
          <w:szCs w:val="22"/>
        </w:rPr>
        <w:t>Salmonella</w:t>
      </w:r>
      <w:r w:rsidR="00562A97">
        <w:rPr>
          <w:i/>
          <w:szCs w:val="22"/>
        </w:rPr>
        <w:t>,</w:t>
      </w:r>
      <w:r>
        <w:rPr>
          <w:szCs w:val="22"/>
        </w:rPr>
        <w:t xml:space="preserve"> </w:t>
      </w:r>
      <w:r w:rsidR="00562A97" w:rsidRPr="00562A97">
        <w:rPr>
          <w:szCs w:val="22"/>
        </w:rPr>
        <w:t xml:space="preserve">případně alespoň na dostupnosti epizootologických informací potvrzujících </w:t>
      </w:r>
      <w:r>
        <w:rPr>
          <w:szCs w:val="22"/>
        </w:rPr>
        <w:t>přítomnost tohoto sérotypu.</w:t>
      </w:r>
    </w:p>
    <w:p w14:paraId="11EA83D9" w14:textId="77777777" w:rsidR="004B6E31" w:rsidRDefault="004B6E31" w:rsidP="00DC2CA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6CD0C8B6" w14:textId="46E68C29" w:rsidR="004B6E31" w:rsidRDefault="00562A97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Kur domácí (brojleři)</w:t>
      </w:r>
      <w:r w:rsidR="004B6E31">
        <w:rPr>
          <w:szCs w:val="22"/>
        </w:rPr>
        <w:t xml:space="preserve">: Léčba kolibacilózy vyvolané </w:t>
      </w:r>
      <w:r>
        <w:rPr>
          <w:szCs w:val="22"/>
        </w:rPr>
        <w:t>kmeny</w:t>
      </w:r>
      <w:r>
        <w:rPr>
          <w:i/>
          <w:szCs w:val="22"/>
        </w:rPr>
        <w:t xml:space="preserve"> </w:t>
      </w:r>
      <w:r w:rsidR="004B6E31">
        <w:rPr>
          <w:i/>
          <w:szCs w:val="22"/>
        </w:rPr>
        <w:t>Escherichia coli</w:t>
      </w:r>
      <w:r>
        <w:rPr>
          <w:szCs w:val="22"/>
        </w:rPr>
        <w:t xml:space="preserve"> </w:t>
      </w:r>
      <w:r w:rsidRPr="00562A97">
        <w:rPr>
          <w:szCs w:val="22"/>
        </w:rPr>
        <w:t>citlivými</w:t>
      </w:r>
      <w:r w:rsidR="004B6E31">
        <w:rPr>
          <w:szCs w:val="22"/>
        </w:rPr>
        <w:t xml:space="preserve"> k apramycinu.</w:t>
      </w:r>
    </w:p>
    <w:p w14:paraId="70D6D332" w14:textId="77777777" w:rsidR="004B6E31" w:rsidRPr="00EB25BE" w:rsidRDefault="004B6E31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B0E6C1" w14:textId="17682CDE" w:rsidR="004B6E31" w:rsidRPr="00EB25BE" w:rsidRDefault="004B6E31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Králíci</w:t>
      </w:r>
      <w:r>
        <w:rPr>
          <w:szCs w:val="22"/>
        </w:rPr>
        <w:t xml:space="preserve">: Léčba a metafylaxe bakteriální enteritidy, vyvolané </w:t>
      </w:r>
      <w:r w:rsidR="00252293">
        <w:rPr>
          <w:szCs w:val="22"/>
        </w:rPr>
        <w:t xml:space="preserve">kmeny </w:t>
      </w:r>
      <w:r>
        <w:rPr>
          <w:i/>
          <w:szCs w:val="22"/>
        </w:rPr>
        <w:t>Escherichia coli</w:t>
      </w:r>
      <w:r w:rsidR="00252293">
        <w:rPr>
          <w:szCs w:val="22"/>
        </w:rPr>
        <w:t xml:space="preserve"> </w:t>
      </w:r>
      <w:r w:rsidR="00252293" w:rsidRPr="00562A97">
        <w:rPr>
          <w:szCs w:val="22"/>
        </w:rPr>
        <w:t>citlivými</w:t>
      </w:r>
      <w:r>
        <w:rPr>
          <w:szCs w:val="22"/>
        </w:rPr>
        <w:t xml:space="preserve"> k apramycinu. Před použitím veterinárního léčivého přípravku je třeba potvrdit přítomnost onemocnění </w:t>
      </w:r>
      <w:r w:rsidR="00252293">
        <w:rPr>
          <w:szCs w:val="22"/>
        </w:rPr>
        <w:t>v chovu</w:t>
      </w:r>
      <w:r>
        <w:rPr>
          <w:szCs w:val="22"/>
        </w:rPr>
        <w:t xml:space="preserve">. </w:t>
      </w:r>
    </w:p>
    <w:p w14:paraId="0D4D7481" w14:textId="77777777" w:rsidR="004B6E31" w:rsidRPr="00B41D57" w:rsidRDefault="004B6E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C42226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39B6C7" w14:textId="128E03DD" w:rsidR="004B6E31" w:rsidRPr="00EB25BE" w:rsidRDefault="004B6E31" w:rsidP="004B6E31">
      <w:pPr>
        <w:tabs>
          <w:tab w:val="clear" w:pos="567"/>
        </w:tabs>
        <w:spacing w:line="240" w:lineRule="auto"/>
        <w:rPr>
          <w:szCs w:val="22"/>
        </w:rPr>
      </w:pPr>
      <w:r w:rsidRPr="00F30D3F">
        <w:t xml:space="preserve">Nepoužívat v případech přecitlivělosti </w:t>
      </w:r>
      <w:r>
        <w:rPr>
          <w:szCs w:val="22"/>
        </w:rPr>
        <w:t>na léčivou látku.</w:t>
      </w:r>
    </w:p>
    <w:p w14:paraId="0D25D1DA" w14:textId="6D36E623" w:rsidR="004B6E31" w:rsidRDefault="004B6E31" w:rsidP="004B6E3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Nepoužívat u </w:t>
      </w:r>
      <w:r w:rsidR="00CE5D52">
        <w:rPr>
          <w:szCs w:val="22"/>
        </w:rPr>
        <w:t xml:space="preserve">skotu </w:t>
      </w:r>
      <w:r>
        <w:rPr>
          <w:szCs w:val="22"/>
        </w:rPr>
        <w:t>s funkčním bachorem.</w:t>
      </w:r>
    </w:p>
    <w:p w14:paraId="7EF05EB3" w14:textId="77777777" w:rsidR="004B6E31" w:rsidRPr="00EB25BE" w:rsidRDefault="004B6E31" w:rsidP="004B6E3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 u zvířat, která trpí onemocněním ledvin.</w:t>
      </w:r>
    </w:p>
    <w:p w14:paraId="18562798" w14:textId="77777777" w:rsidR="004B6E31" w:rsidRPr="00B41D57" w:rsidRDefault="004B6E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42226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433ED4C3" w:rsidR="00F354C5" w:rsidRPr="00B41D57" w:rsidRDefault="00C42226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B3195DD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B5AD451" w14:textId="04A5CAE3" w:rsidR="00290A1B" w:rsidRPr="004E1109" w:rsidRDefault="00290A1B" w:rsidP="009C153A">
      <w:pPr>
        <w:tabs>
          <w:tab w:val="clear" w:pos="567"/>
        </w:tabs>
        <w:spacing w:line="240" w:lineRule="auto"/>
        <w:jc w:val="both"/>
        <w:rPr>
          <w:rFonts w:eastAsia="Arial"/>
          <w:szCs w:val="22"/>
        </w:rPr>
      </w:pPr>
      <w:r>
        <w:rPr>
          <w:szCs w:val="22"/>
        </w:rPr>
        <w:t xml:space="preserve">Použití veterinárního léčivého přípravku </w:t>
      </w:r>
      <w:r w:rsidR="00CE5D52" w:rsidRPr="00CE5D52">
        <w:rPr>
          <w:szCs w:val="22"/>
        </w:rPr>
        <w:t xml:space="preserve">by mělo být založeno na stanovení citlivosti bakterií izolovaných ze zvířete. Pokud to není možné, je třeba založit terapii na místních epizootologických informacích (na úrovni regionu nebo farmy) a informacích </w:t>
      </w:r>
      <w:r>
        <w:rPr>
          <w:szCs w:val="22"/>
        </w:rPr>
        <w:t>o citlivosti cílové bakterie.</w:t>
      </w:r>
    </w:p>
    <w:p w14:paraId="669021B5" w14:textId="78DD1C32" w:rsidR="00290A1B" w:rsidRPr="004E1109" w:rsidRDefault="00CE5D52">
      <w:pPr>
        <w:tabs>
          <w:tab w:val="clear" w:pos="567"/>
        </w:tabs>
        <w:spacing w:line="240" w:lineRule="auto"/>
        <w:jc w:val="both"/>
        <w:rPr>
          <w:rFonts w:eastAsia="Arial"/>
          <w:szCs w:val="22"/>
        </w:rPr>
      </w:pPr>
      <w:r w:rsidRPr="00CE5D52">
        <w:rPr>
          <w:szCs w:val="22"/>
        </w:rPr>
        <w:t xml:space="preserve">Pokud je v hospodářství diagnostikována </w:t>
      </w:r>
      <w:bookmarkStart w:id="0" w:name="_Hlk225167906"/>
      <w:r w:rsidRPr="00CE5D52">
        <w:rPr>
          <w:i/>
          <w:szCs w:val="22"/>
        </w:rPr>
        <w:t>Salmonella</w:t>
      </w:r>
      <w:r w:rsidRPr="00CE5D52">
        <w:rPr>
          <w:szCs w:val="22"/>
        </w:rPr>
        <w:t xml:space="preserve"> Dublin, je třeba zvážit zavedení kontrolních opatření zahrnujících průběžné sledování nákazové situace, vakcinaci, biologickou bezpečnost a kontrolu přesunů zvířat. Národní kontrolní programy mají být dodržovány, jsou-li k dispozici</w:t>
      </w:r>
      <w:bookmarkEnd w:id="0"/>
      <w:r w:rsidR="00290A1B">
        <w:rPr>
          <w:szCs w:val="22"/>
        </w:rPr>
        <w:t xml:space="preserve">. </w:t>
      </w:r>
    </w:p>
    <w:p w14:paraId="426A0761" w14:textId="03F4E4FC" w:rsidR="00290A1B" w:rsidRPr="004E1109" w:rsidRDefault="00290A1B">
      <w:pPr>
        <w:tabs>
          <w:tab w:val="clear" w:pos="567"/>
        </w:tabs>
        <w:spacing w:line="240" w:lineRule="auto"/>
        <w:jc w:val="both"/>
        <w:rPr>
          <w:rFonts w:eastAsia="Arial"/>
          <w:szCs w:val="22"/>
        </w:rPr>
      </w:pPr>
      <w:r>
        <w:rPr>
          <w:szCs w:val="22"/>
        </w:rPr>
        <w:lastRenderedPageBreak/>
        <w:t>Použití veterinárního léčivého přípravku, které je odlišné od pokynů uvedených v</w:t>
      </w:r>
      <w:r w:rsidR="00A42A50">
        <w:rPr>
          <w:szCs w:val="22"/>
        </w:rPr>
        <w:t> této příbalové informaci</w:t>
      </w:r>
      <w:r>
        <w:rPr>
          <w:szCs w:val="22"/>
        </w:rPr>
        <w:t xml:space="preserve">, může zvýšit prevalenci bakterií rezistentních k apramycinu a může snížit účinnost léčby aminoglykosidy z důvodu možné zkřížené rezistence. </w:t>
      </w:r>
    </w:p>
    <w:p w14:paraId="13ABDA9C" w14:textId="65014E64" w:rsidR="004B6E31" w:rsidRDefault="00290A1B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Při použití </w:t>
      </w:r>
      <w:r w:rsidR="00A42A50" w:rsidRPr="00A42A50">
        <w:t xml:space="preserve"> </w:t>
      </w:r>
      <w:r w:rsidR="00A42A50">
        <w:t>veterinárního léčivého</w:t>
      </w:r>
      <w:r>
        <w:t xml:space="preserve"> je nutno vzít v úvahu oficiální a místní pravidla antibiotické politiky.</w:t>
      </w:r>
    </w:p>
    <w:p w14:paraId="4AACA9FA" w14:textId="77777777" w:rsidR="004B6E31" w:rsidRPr="00B41D57" w:rsidRDefault="004B6E31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E295107" w:rsidR="00F354C5" w:rsidRPr="00290A1B" w:rsidRDefault="00A42A50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42A50">
        <w:rPr>
          <w:u w:val="single"/>
        </w:rPr>
        <w:t>Zvláštní opatření pro osobu, která podává veterinární léčivý přípravek zvířatům</w:t>
      </w:r>
      <w:r w:rsidR="00290A1B" w:rsidRPr="00290A1B">
        <w:rPr>
          <w:u w:val="single"/>
        </w:rPr>
        <w:t>:</w:t>
      </w:r>
    </w:p>
    <w:p w14:paraId="2DAED05C" w14:textId="77777777" w:rsidR="002F6DAA" w:rsidRDefault="002F6DAA" w:rsidP="005B1FD0">
      <w:pPr>
        <w:rPr>
          <w:szCs w:val="22"/>
          <w:u w:val="single"/>
        </w:rPr>
      </w:pPr>
    </w:p>
    <w:p w14:paraId="2F49235C" w14:textId="77777777" w:rsidR="00290A1B" w:rsidRPr="004E1109" w:rsidRDefault="00290A1B" w:rsidP="00290A1B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Lidé se známou přecitlivělostí na apramycin nebo na jakýkoliv jiný aminoglykosid by se měli vyhnout kontaktu s tímto veterinárním léčivým přípravkem.</w:t>
      </w:r>
    </w:p>
    <w:p w14:paraId="23DE57A4" w14:textId="6C0BD5C1" w:rsidR="00290A1B" w:rsidRPr="004E1109" w:rsidRDefault="00290A1B" w:rsidP="00290A1B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 xml:space="preserve">Tento veterinární léčivý přípravek může po kontaktu s pokožkou, očima nebo po vdechnutí způsobit podráždění nebo přecitlivělost.  </w:t>
      </w:r>
    </w:p>
    <w:p w14:paraId="23D4F28A" w14:textId="77777777" w:rsidR="00290A1B" w:rsidRPr="004E1109" w:rsidRDefault="00290A1B" w:rsidP="00290A1B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 xml:space="preserve">Zabraňte kontaktu s očima, pokožkou, sliznicemi a vdechování prášku při přípravě medikované vody/mléka. </w:t>
      </w:r>
    </w:p>
    <w:p w14:paraId="3B69684F" w14:textId="526A4D95" w:rsidR="00290A1B" w:rsidRPr="004E1109" w:rsidRDefault="00290A1B" w:rsidP="00290A1B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Při nakládání s veterinárním léčivým přípravkem používejte osobní ochranné prostředky skládající se z rukavic, masky, ochranných brýlí a ochranného oděvu.</w:t>
      </w:r>
    </w:p>
    <w:p w14:paraId="55D35FD0" w14:textId="77777777" w:rsidR="00290A1B" w:rsidRPr="004E1109" w:rsidRDefault="00290A1B" w:rsidP="00290A1B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Po použití si umyjte ruce.</w:t>
      </w:r>
    </w:p>
    <w:p w14:paraId="290F827C" w14:textId="77777777" w:rsidR="00290A1B" w:rsidRPr="004E1109" w:rsidRDefault="00290A1B" w:rsidP="00290A1B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V případě kontaktu s očima vyplachujte postižené místo velkým množstvím vody. V případě kontaktu s pokožkou důkladně omyjte mýdlem a vodou. Pokud podráždění přetrvává, vyhledejte lékařskou pomoc.</w:t>
      </w:r>
    </w:p>
    <w:p w14:paraId="530D934E" w14:textId="77777777" w:rsidR="00290A1B" w:rsidRPr="004E1109" w:rsidRDefault="00290A1B" w:rsidP="00290A1B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V případě náhodného požití vyhledejte ihned lékařskou pomoc a ukažte příbalovou informaci nebo etiketu praktickému lékaři.</w:t>
      </w:r>
    </w:p>
    <w:p w14:paraId="4AD90362" w14:textId="77777777" w:rsidR="00290A1B" w:rsidRDefault="00290A1B" w:rsidP="00290A1B">
      <w:pPr>
        <w:tabs>
          <w:tab w:val="clear" w:pos="567"/>
        </w:tabs>
        <w:spacing w:line="240" w:lineRule="auto"/>
      </w:pPr>
      <w:r>
        <w:rPr>
          <w:szCs w:val="22"/>
        </w:rPr>
        <w:t>Pokud se po kontaktu s přípravkem objeví příznaky jako například kožní vyrážka, vyhledejte ihned lékařskou pomoc a ukažte příbalovou informaci nebo etiketu praktickému lékaři. Otok obličeje, rtů či očí nebo potíže s dýcháním jsou vážné příznaky a vyžadují okamžité lékařské ošetření.</w:t>
      </w:r>
    </w:p>
    <w:p w14:paraId="2DE57AF4" w14:textId="77777777" w:rsidR="00290A1B" w:rsidRDefault="00290A1B" w:rsidP="005B1FD0">
      <w:pPr>
        <w:rPr>
          <w:szCs w:val="22"/>
          <w:u w:val="single"/>
        </w:rPr>
      </w:pPr>
    </w:p>
    <w:p w14:paraId="73D27655" w14:textId="6CD5BA4D" w:rsidR="005B1FD0" w:rsidRPr="00B41D57" w:rsidRDefault="00C42226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C129502" w14:textId="77777777" w:rsidR="005B1FD0" w:rsidRDefault="005B1FD0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FF084C" w14:textId="042C7BFF" w:rsidR="00D56815" w:rsidRPr="004E1109" w:rsidRDefault="00D56815" w:rsidP="00DC2C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Prasata (</w:t>
      </w:r>
      <w:r w:rsidR="00A42A50">
        <w:rPr>
          <w:szCs w:val="22"/>
        </w:rPr>
        <w:t>po odstavu</w:t>
      </w:r>
      <w:r>
        <w:rPr>
          <w:szCs w:val="22"/>
        </w:rPr>
        <w:t>):</w:t>
      </w:r>
    </w:p>
    <w:p w14:paraId="7FEE04B3" w14:textId="6D416821" w:rsidR="00D56815" w:rsidRDefault="00A42A50" w:rsidP="00DC2C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A42A50">
        <w:rPr>
          <w:szCs w:val="22"/>
        </w:rPr>
        <w:t>Nebyla stanovena bezpečnost</w:t>
      </w:r>
      <w:r w:rsidR="00D56815">
        <w:rPr>
          <w:szCs w:val="22"/>
        </w:rPr>
        <w:t xml:space="preserve"> veterinárního léčivého přípravku pro použití během březosti a laktace u prasnic. Použít pouze po zvážení terapeutického prospěchu a rizika odpovědným veterinárním lékařem.</w:t>
      </w:r>
    </w:p>
    <w:p w14:paraId="693756F6" w14:textId="77777777" w:rsidR="00D56815" w:rsidRPr="004E1109" w:rsidRDefault="00D56815" w:rsidP="00DC2C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0B101907" w14:textId="77777777" w:rsidR="00D56815" w:rsidRPr="004E1109" w:rsidRDefault="00D56815" w:rsidP="00DC2C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Skot (neruminující telata):</w:t>
      </w:r>
    </w:p>
    <w:p w14:paraId="039CC61D" w14:textId="4135432D" w:rsidR="00D56815" w:rsidRDefault="002978EF" w:rsidP="00DC2C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2978EF">
        <w:rPr>
          <w:szCs w:val="22"/>
        </w:rPr>
        <w:t>Veterinární léčivý p</w:t>
      </w:r>
      <w:r w:rsidR="00D56815">
        <w:rPr>
          <w:szCs w:val="22"/>
        </w:rPr>
        <w:t xml:space="preserve">řípravek není určen pro použití </w:t>
      </w:r>
      <w:r w:rsidR="00D56815" w:rsidRPr="00F30D3F">
        <w:t>během březosti</w:t>
      </w:r>
      <w:r w:rsidR="00D56815">
        <w:rPr>
          <w:szCs w:val="22"/>
        </w:rPr>
        <w:t xml:space="preserve"> a laktace.</w:t>
      </w:r>
    </w:p>
    <w:p w14:paraId="3068EC3A" w14:textId="77777777" w:rsidR="00D56815" w:rsidRPr="004E1109" w:rsidRDefault="00D56815" w:rsidP="00DC2C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443B2E8F" w14:textId="77777777" w:rsidR="00D56815" w:rsidRPr="004E1109" w:rsidRDefault="00D56815" w:rsidP="00DC2C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Králíci:</w:t>
      </w:r>
    </w:p>
    <w:p w14:paraId="2D75F459" w14:textId="77777777" w:rsidR="00D56815" w:rsidRDefault="00D56815" w:rsidP="00DC2C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 xml:space="preserve">Dávky apramycinu podávané perorálně od 6. do 18. dne březosti (včetně dávek nižších než terapeutické dávky) podaly důkaz o fetotoxických účincích. Nepoužívat </w:t>
      </w:r>
      <w:r w:rsidRPr="00F30D3F">
        <w:t>během</w:t>
      </w:r>
      <w:r>
        <w:t xml:space="preserve"> </w:t>
      </w:r>
      <w:r w:rsidRPr="00F30D3F">
        <w:t>březosti</w:t>
      </w:r>
      <w:r>
        <w:rPr>
          <w:szCs w:val="22"/>
        </w:rPr>
        <w:t>.</w:t>
      </w:r>
    </w:p>
    <w:p w14:paraId="212BD05A" w14:textId="77777777" w:rsidR="00D56815" w:rsidRPr="004E1109" w:rsidRDefault="00D56815" w:rsidP="00DC2C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28E4D441" w14:textId="335EEDEA" w:rsidR="00D56815" w:rsidRPr="004E1109" w:rsidRDefault="00D56815" w:rsidP="00DC2C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Nosnice:</w:t>
      </w:r>
    </w:p>
    <w:p w14:paraId="6DAF86FF" w14:textId="5BDA03C5" w:rsidR="00D56815" w:rsidRPr="00A846DF" w:rsidRDefault="002978EF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78EF">
        <w:rPr>
          <w:szCs w:val="22"/>
        </w:rPr>
        <w:t>Nepoužívat u nosnic, jejichž vejce jsou určena pro lidskou spotřebu. Nepoužívat během 4 týdnů před počátkem snášky</w:t>
      </w:r>
      <w:r w:rsidR="00D56815" w:rsidRPr="002978EF">
        <w:rPr>
          <w:szCs w:val="22"/>
        </w:rPr>
        <w:t>.</w:t>
      </w:r>
    </w:p>
    <w:p w14:paraId="19B4F207" w14:textId="77777777" w:rsidR="00290A1B" w:rsidRDefault="00290A1B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F1C6F6" w14:textId="55CF8DA2" w:rsidR="005B1FD0" w:rsidRPr="00B41D57" w:rsidRDefault="00C42226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Interakce s</w:t>
      </w:r>
      <w:r w:rsidR="00D56815">
        <w:rPr>
          <w:szCs w:val="22"/>
          <w:u w:val="single"/>
        </w:rPr>
        <w:t> </w:t>
      </w:r>
      <w:r w:rsidRPr="00B41D57">
        <w:rPr>
          <w:szCs w:val="22"/>
          <w:u w:val="single"/>
        </w:rPr>
        <w:t>jinými</w:t>
      </w:r>
      <w:r w:rsidR="00D56815">
        <w:rPr>
          <w:szCs w:val="22"/>
          <w:u w:val="single"/>
        </w:rPr>
        <w:t xml:space="preserve"> veterinárními</w:t>
      </w:r>
      <w:r w:rsidRPr="00B41D57">
        <w:rPr>
          <w:szCs w:val="22"/>
          <w:u w:val="single"/>
        </w:rPr>
        <w:t xml:space="preserve"> léčivými přípravky a další formy interakce</w:t>
      </w:r>
      <w:r w:rsidRPr="00B41D57">
        <w:t>:</w:t>
      </w:r>
    </w:p>
    <w:p w14:paraId="4B6ACDF8" w14:textId="77777777" w:rsidR="005B1FD0" w:rsidRDefault="005B1FD0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FC94E7D" w14:textId="16795D5D" w:rsidR="00E5429B" w:rsidRPr="004E1109" w:rsidRDefault="00E5429B" w:rsidP="00DC2C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Aminoglykosidy mohou mít nežádoucí vliv na funkci ledvin.  Podávání aminoglykosidů zvířatům trpícím onemocněním ledvin nebo v kombinaci s látkami, které také ovlivňují renální funkci, může představovat riziko intoxikace.</w:t>
      </w:r>
    </w:p>
    <w:p w14:paraId="58D4E52E" w14:textId="48FF86A3" w:rsidR="00E5429B" w:rsidRDefault="00E5429B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Aminoglykosidy mohou způsobovat neurosvalovou blokádu. </w:t>
      </w:r>
      <w:r w:rsidR="00A846DF" w:rsidRPr="00A846DF">
        <w:rPr>
          <w:szCs w:val="22"/>
        </w:rPr>
        <w:t>Doporučuje se proto vzít tento účinek v úvahu při podávání anestetik léčeným zvířatům</w:t>
      </w:r>
      <w:r>
        <w:rPr>
          <w:szCs w:val="22"/>
        </w:rPr>
        <w:t>.</w:t>
      </w:r>
    </w:p>
    <w:p w14:paraId="16E4BD9E" w14:textId="77777777" w:rsidR="00D56815" w:rsidRPr="00B41D57" w:rsidRDefault="00D56815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6C6DA5" w14:textId="05F856EA" w:rsidR="005B1FD0" w:rsidRDefault="00C42226" w:rsidP="00DC2CA1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3954605" w14:textId="77777777" w:rsidR="00E5429B" w:rsidRDefault="00E5429B" w:rsidP="00DC2CA1">
      <w:pPr>
        <w:tabs>
          <w:tab w:val="clear" w:pos="567"/>
        </w:tabs>
        <w:spacing w:line="240" w:lineRule="auto"/>
        <w:jc w:val="both"/>
      </w:pPr>
    </w:p>
    <w:p w14:paraId="7F7DFF18" w14:textId="6F1C9DFD" w:rsidR="000A7E4D" w:rsidRDefault="000A7E4D" w:rsidP="00DC2CA1">
      <w:pPr>
        <w:pStyle w:val="Zkladntextodsazen"/>
        <w:keepNext/>
        <w:keepLines/>
        <w:ind w:left="0" w:firstLine="0"/>
        <w:jc w:val="both"/>
        <w:rPr>
          <w:b w:val="0"/>
          <w:szCs w:val="22"/>
        </w:rPr>
      </w:pPr>
      <w:r>
        <w:rPr>
          <w:b w:val="0"/>
          <w:szCs w:val="22"/>
        </w:rPr>
        <w:t>Prasata (</w:t>
      </w:r>
      <w:r w:rsidR="00A846DF">
        <w:rPr>
          <w:b w:val="0"/>
          <w:szCs w:val="22"/>
        </w:rPr>
        <w:t>po odstavu</w:t>
      </w:r>
      <w:r>
        <w:rPr>
          <w:b w:val="0"/>
          <w:szCs w:val="22"/>
        </w:rPr>
        <w:t>): Prasatům byl podáván až devítinásobek doporučované dávky v pitné vodě po dobu 28 dnů, aniž by došlo k nepříznivým účinkům.</w:t>
      </w:r>
    </w:p>
    <w:p w14:paraId="7D84FAE8" w14:textId="0C72C849" w:rsidR="000A7E4D" w:rsidRDefault="000A7E4D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Skot (neruminující telata): Telatům </w:t>
      </w:r>
      <w:r w:rsidRPr="001C3490">
        <w:rPr>
          <w:szCs w:val="22"/>
        </w:rPr>
        <w:t>byl podáván</w:t>
      </w:r>
      <w:r>
        <w:rPr>
          <w:szCs w:val="22"/>
        </w:rPr>
        <w:t xml:space="preserve"> apramycin v mléčné náhražce denně po dobu pěti dnů v dávkách až 120 mg/kg živé hmotnosti. </w:t>
      </w:r>
      <w:r w:rsidR="00A846DF">
        <w:rPr>
          <w:szCs w:val="22"/>
        </w:rPr>
        <w:t>Nebyl pozorován toxický účinek</w:t>
      </w:r>
      <w:r>
        <w:rPr>
          <w:szCs w:val="22"/>
        </w:rPr>
        <w:t>.</w:t>
      </w:r>
    </w:p>
    <w:p w14:paraId="783C8C6A" w14:textId="2A7A621A" w:rsidR="000A7E4D" w:rsidRDefault="006645CE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lastRenderedPageBreak/>
        <w:t>Kur domácí (brojleři)</w:t>
      </w:r>
      <w:r w:rsidR="000A7E4D">
        <w:rPr>
          <w:szCs w:val="22"/>
        </w:rPr>
        <w:t>: Po perorálním podání jednorázové dávky 1 000 mg/kg živé hmotnosti nedošlo k úhynům kuřat. Po podání pětinásobku doporučené dávky po dobu 15 dnů nedošlo k nepříznivým účinkům.</w:t>
      </w:r>
    </w:p>
    <w:p w14:paraId="3CAC3084" w14:textId="3B5A80D6" w:rsidR="000A7E4D" w:rsidRDefault="000A7E4D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Možnou intoxikaci lze poznat </w:t>
      </w:r>
      <w:r w:rsidR="006645CE">
        <w:rPr>
          <w:szCs w:val="22"/>
        </w:rPr>
        <w:t xml:space="preserve">podle </w:t>
      </w:r>
      <w:r>
        <w:rPr>
          <w:szCs w:val="22"/>
        </w:rPr>
        <w:t xml:space="preserve">následujících příznaků: měkký trus, průjem, zvracení (ztráta hmotnosti, anorexie apod.), </w:t>
      </w:r>
      <w:r w:rsidR="006645CE">
        <w:rPr>
          <w:szCs w:val="22"/>
        </w:rPr>
        <w:t>porucha funkce ledvin</w:t>
      </w:r>
      <w:r>
        <w:rPr>
          <w:szCs w:val="22"/>
        </w:rPr>
        <w:t xml:space="preserve"> a vliv na centrální nervový systém (snížená aktivita, ztráta reflexů, křeče atd.).</w:t>
      </w:r>
    </w:p>
    <w:p w14:paraId="604B4D64" w14:textId="77777777" w:rsidR="000A7E4D" w:rsidRDefault="000A7E4D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Nepřekračujte doporučené dávkování.</w:t>
      </w:r>
    </w:p>
    <w:p w14:paraId="74F04FB5" w14:textId="05ADAB29" w:rsidR="00E5429B" w:rsidRPr="00B41D57" w:rsidRDefault="00E5429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4B0175EB" w:rsidR="005B1FD0" w:rsidRPr="00B41D57" w:rsidRDefault="00C42226" w:rsidP="005B1FD0">
      <w:pPr>
        <w:rPr>
          <w:szCs w:val="22"/>
        </w:rPr>
      </w:pPr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0D7820BD" w:rsidR="005B1FD0" w:rsidRPr="000A7E4D" w:rsidRDefault="006645CE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Hlavní i</w:t>
      </w:r>
      <w:r w:rsidRPr="000A7E4D">
        <w:rPr>
          <w:szCs w:val="22"/>
          <w:u w:val="single"/>
        </w:rPr>
        <w:t>nkompatibility</w:t>
      </w:r>
      <w:r w:rsidR="000A7E4D" w:rsidRPr="000A7E4D">
        <w:rPr>
          <w:u w:val="single"/>
        </w:rPr>
        <w:t>:</w:t>
      </w:r>
    </w:p>
    <w:p w14:paraId="147FD16E" w14:textId="77777777" w:rsidR="005B1FD0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25C2D8" w14:textId="77777777" w:rsidR="00B04EA1" w:rsidRDefault="00B04EA1" w:rsidP="00B04EA1">
      <w:pPr>
        <w:tabs>
          <w:tab w:val="clear" w:pos="567"/>
        </w:tabs>
        <w:spacing w:line="240" w:lineRule="auto"/>
      </w:pPr>
      <w:r w:rsidRPr="00C4587E">
        <w:t>Nejsou k dispozici žádné informace o potenciálních interakcích nebo inkompatibilitách tohoto veterinárního léčivého přípravku podávaného perorálně přimícháním do pitné vody</w:t>
      </w:r>
      <w:r>
        <w:t xml:space="preserve"> </w:t>
      </w:r>
      <w:r w:rsidRPr="00C4587E">
        <w:t>nebo</w:t>
      </w:r>
      <w:r>
        <w:t xml:space="preserve"> </w:t>
      </w:r>
      <w:r w:rsidRPr="00C4587E">
        <w:t>tekutého krmiva obsahujícího</w:t>
      </w:r>
      <w:r>
        <w:t xml:space="preserve"> </w:t>
      </w:r>
      <w:r w:rsidRPr="00C4587E">
        <w:t>biocidní přípravky</w:t>
      </w:r>
      <w:r>
        <w:t xml:space="preserve">, </w:t>
      </w:r>
      <w:r w:rsidRPr="007974D1">
        <w:t>doplňky do krmiva</w:t>
      </w:r>
      <w:r>
        <w:t xml:space="preserve"> nebo </w:t>
      </w:r>
      <w:r w:rsidRPr="007974D1">
        <w:t>jiné látky použív</w:t>
      </w:r>
      <w:r w:rsidRPr="00C4587E">
        <w:t>ané v pitné vodě.</w:t>
      </w:r>
    </w:p>
    <w:p w14:paraId="32D9C621" w14:textId="77777777" w:rsidR="00B04EA1" w:rsidRDefault="00B04EA1" w:rsidP="00B04EA1">
      <w:pPr>
        <w:tabs>
          <w:tab w:val="clear" w:pos="567"/>
        </w:tabs>
        <w:spacing w:line="240" w:lineRule="auto"/>
      </w:pPr>
    </w:p>
    <w:p w14:paraId="68B0C749" w14:textId="7BF2F624" w:rsidR="00B04EA1" w:rsidRPr="00B41D57" w:rsidRDefault="00B04EA1" w:rsidP="00B04EA1">
      <w:pPr>
        <w:tabs>
          <w:tab w:val="clear" w:pos="567"/>
        </w:tabs>
        <w:spacing w:line="240" w:lineRule="auto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01E52E33" w14:textId="77777777" w:rsidR="000A7E4D" w:rsidRPr="00B41D57" w:rsidRDefault="000A7E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42226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47891B" w14:textId="77777777" w:rsidR="002A59BE" w:rsidRPr="00EB25BE" w:rsidRDefault="002A59BE" w:rsidP="002A59B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Nejsou známy.</w:t>
      </w:r>
    </w:p>
    <w:p w14:paraId="64639C8F" w14:textId="77777777" w:rsidR="002A59BE" w:rsidRPr="00B41D57" w:rsidRDefault="002A59BE" w:rsidP="002A59BE">
      <w:pPr>
        <w:tabs>
          <w:tab w:val="clear" w:pos="567"/>
        </w:tabs>
        <w:spacing w:line="240" w:lineRule="auto"/>
        <w:rPr>
          <w:szCs w:val="22"/>
        </w:rPr>
      </w:pPr>
    </w:p>
    <w:p w14:paraId="29BF4B88" w14:textId="196AA07F" w:rsidR="00E124D3" w:rsidRDefault="00C42226" w:rsidP="002A59BE">
      <w:bookmarkStart w:id="1" w:name="_Hlk184640527"/>
      <w:r w:rsidRPr="00B41D57">
        <w:t xml:space="preserve">Hlášení nežádoucích účinků je důležité. Umožňuje nepřetržité sledování bezpečnosti </w:t>
      </w:r>
      <w:r w:rsidR="0009531C">
        <w:t xml:space="preserve">veterinárního léčivého </w:t>
      </w:r>
      <w:r w:rsidRPr="00B41D57">
        <w:t xml:space="preserve">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61599D">
        <w:t xml:space="preserve">, </w:t>
      </w:r>
      <w:r w:rsidRPr="00B41D57">
        <w:t xml:space="preserve"> </w:t>
      </w:r>
      <w:r w:rsidR="0061599D">
        <w:t xml:space="preserve">nebo jeho místnímu zástupci </w:t>
      </w:r>
      <w:r w:rsidRPr="00B41D57">
        <w:t>s </w:t>
      </w:r>
      <w:r w:rsidR="004D2601" w:rsidRPr="00B41D57">
        <w:t>vy</w:t>
      </w:r>
      <w:r w:rsidRPr="00B41D57">
        <w:t>užitím kontaktních údajů uvedených na konci této příbalové informace</w:t>
      </w:r>
      <w:r w:rsidR="0061599D">
        <w:t>,</w:t>
      </w:r>
      <w:r w:rsidRPr="00B41D57">
        <w:t xml:space="preserve"> nebo prostřednictvím národního systému hlášení nežádoucích účinků</w:t>
      </w:r>
      <w:r w:rsidR="003E6225">
        <w:t>:</w:t>
      </w:r>
      <w:r>
        <w:t xml:space="preserve"> </w:t>
      </w:r>
      <w:bookmarkEnd w:id="1"/>
    </w:p>
    <w:p w14:paraId="3D3D9248" w14:textId="77777777" w:rsidR="0061599D" w:rsidRDefault="0061599D" w:rsidP="0061599D">
      <w:r>
        <w:t xml:space="preserve">Ústav pro státní kontrolu veterinárních biopreparátů a léčiv </w:t>
      </w:r>
    </w:p>
    <w:p w14:paraId="7E219F4E" w14:textId="77777777" w:rsidR="0061599D" w:rsidRDefault="0061599D" w:rsidP="0061599D">
      <w:r>
        <w:t>Hudcova 232/56 a</w:t>
      </w:r>
    </w:p>
    <w:p w14:paraId="6AE97AA7" w14:textId="77777777" w:rsidR="0061599D" w:rsidRDefault="0061599D" w:rsidP="0061599D">
      <w:r>
        <w:t xml:space="preserve">621 Brno </w:t>
      </w:r>
    </w:p>
    <w:p w14:paraId="1A135AAC" w14:textId="77777777" w:rsidR="0061599D" w:rsidRDefault="0061599D" w:rsidP="0061599D">
      <w:pPr>
        <w:rPr>
          <w:color w:val="0000FF"/>
          <w:u w:val="single"/>
        </w:rPr>
      </w:pPr>
      <w:r>
        <w:t xml:space="preserve">E-mail: </w:t>
      </w:r>
      <w:hyperlink r:id="rId8" w:history="1">
        <w:r>
          <w:rPr>
            <w:rStyle w:val="Hypertextovodkaz"/>
          </w:rPr>
          <w:t>adr@uskvbl.cz</w:t>
        </w:r>
      </w:hyperlink>
    </w:p>
    <w:p w14:paraId="738A31A7" w14:textId="77777777" w:rsidR="0061599D" w:rsidRDefault="0061599D" w:rsidP="0061599D">
      <w:r>
        <w:t>Tel.: +420 720 940 693</w:t>
      </w:r>
    </w:p>
    <w:p w14:paraId="179FC437" w14:textId="77777777" w:rsidR="0061599D" w:rsidRDefault="0061599D" w:rsidP="0061599D">
      <w:r>
        <w:t xml:space="preserve">Webové stránky: </w:t>
      </w:r>
      <w:hyperlink r:id="rId9" w:history="1">
        <w:r>
          <w:rPr>
            <w:rStyle w:val="Hypertextovodkaz"/>
          </w:rPr>
          <w:t>http://www.uskvbl.cz/cs/farmakovigilance</w:t>
        </w:r>
      </w:hyperlink>
    </w:p>
    <w:p w14:paraId="5EDA44D3" w14:textId="4F97B044" w:rsidR="0061599D" w:rsidRPr="0061599D" w:rsidRDefault="0061599D" w:rsidP="0061599D">
      <w:pPr>
        <w:tabs>
          <w:tab w:val="clear" w:pos="567"/>
        </w:tabs>
        <w:spacing w:line="240" w:lineRule="auto"/>
        <w:rPr>
          <w:rFonts w:ascii="Calibri" w:hAnsi="Calibri" w:cs="Calibri"/>
          <w:color w:val="000000"/>
          <w:szCs w:val="22"/>
          <w:lang w:eastAsia="cs-CZ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42226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F99408" w14:textId="77777777" w:rsidR="007D0A22" w:rsidRDefault="007D0A22" w:rsidP="007D0A2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Způsob podání:</w:t>
      </w:r>
    </w:p>
    <w:p w14:paraId="78B0E50C" w14:textId="77777777" w:rsidR="007D0A22" w:rsidRDefault="007D0A22" w:rsidP="007D0A22">
      <w:pPr>
        <w:tabs>
          <w:tab w:val="clear" w:pos="567"/>
        </w:tabs>
        <w:spacing w:line="240" w:lineRule="auto"/>
        <w:rPr>
          <w:szCs w:val="22"/>
        </w:rPr>
      </w:pPr>
    </w:p>
    <w:p w14:paraId="354FFE03" w14:textId="588988CA" w:rsidR="007D0A22" w:rsidRDefault="006645CE" w:rsidP="007D0A2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Podání v</w:t>
      </w:r>
      <w:r w:rsidR="007D0A22">
        <w:rPr>
          <w:szCs w:val="22"/>
        </w:rPr>
        <w:t> pitné vodě / mléce.</w:t>
      </w:r>
    </w:p>
    <w:p w14:paraId="58D08E48" w14:textId="77777777" w:rsidR="007D0A22" w:rsidRPr="004E1109" w:rsidRDefault="007D0A22" w:rsidP="007D0A2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2A609700" w14:textId="77777777" w:rsidR="006645CE" w:rsidRPr="006645CE" w:rsidRDefault="006645CE" w:rsidP="006645CE">
      <w:pPr>
        <w:tabs>
          <w:tab w:val="clear" w:pos="567"/>
        </w:tabs>
        <w:spacing w:line="240" w:lineRule="auto"/>
        <w:rPr>
          <w:szCs w:val="22"/>
        </w:rPr>
      </w:pPr>
      <w:r w:rsidRPr="006645CE">
        <w:rPr>
          <w:szCs w:val="22"/>
        </w:rPr>
        <w:t>Napájecí systémy musí být čisté a bez známek koroze, aby nedošlo ke snížení účinnosti.</w:t>
      </w:r>
    </w:p>
    <w:p w14:paraId="1E95FA86" w14:textId="7C969936" w:rsidR="007D0A22" w:rsidRDefault="006645CE" w:rsidP="007D0A2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6645CE">
        <w:rPr>
          <w:szCs w:val="22"/>
        </w:rPr>
        <w:t xml:space="preserve">Neruminujícím telatům se veterinární léčivý </w:t>
      </w:r>
      <w:r w:rsidR="007D0A22">
        <w:rPr>
          <w:szCs w:val="22"/>
        </w:rPr>
        <w:t>přípravek může podávat v mléce nebo v mléčné náhražce.</w:t>
      </w:r>
    </w:p>
    <w:p w14:paraId="7AB89DAC" w14:textId="77777777" w:rsidR="007D0A22" w:rsidRPr="004E1109" w:rsidRDefault="007D0A22" w:rsidP="007D0A2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1785DC21" w14:textId="77777777" w:rsidR="007D0A22" w:rsidRPr="007D0A22" w:rsidRDefault="007D0A22" w:rsidP="007D0A22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 w:rsidRPr="007D0A22">
        <w:rPr>
          <w:szCs w:val="22"/>
          <w:u w:val="single"/>
        </w:rPr>
        <w:t>Podávané množství:</w:t>
      </w:r>
    </w:p>
    <w:p w14:paraId="055A8F38" w14:textId="77777777" w:rsidR="007D0A22" w:rsidRDefault="007D0A22" w:rsidP="007D0A2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7E3517C7" w14:textId="3880A148" w:rsidR="007D0A22" w:rsidRPr="004E1109" w:rsidRDefault="007D0A22" w:rsidP="007D0A22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>
        <w:rPr>
          <w:szCs w:val="22"/>
          <w:u w:val="single"/>
        </w:rPr>
        <w:t>Prasata (</w:t>
      </w:r>
      <w:r w:rsidR="006645CE">
        <w:rPr>
          <w:szCs w:val="22"/>
          <w:u w:val="single"/>
        </w:rPr>
        <w:t>po odstavu</w:t>
      </w:r>
      <w:r>
        <w:rPr>
          <w:szCs w:val="22"/>
          <w:u w:val="single"/>
        </w:rPr>
        <w:t>):</w:t>
      </w:r>
    </w:p>
    <w:p w14:paraId="55DE3596" w14:textId="4FD902CD" w:rsidR="007D0A22" w:rsidRDefault="007D0A22" w:rsidP="007D0A2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rPr>
          <w:szCs w:val="22"/>
        </w:rPr>
        <w:t xml:space="preserve">Podávat 12 500 IU apramycin sulfátu na kilogram živé hmotnosti (odpovídá 22,5 mg </w:t>
      </w:r>
      <w:r w:rsidR="006645CE">
        <w:rPr>
          <w:szCs w:val="22"/>
        </w:rPr>
        <w:t xml:space="preserve">veterinárního léčivého </w:t>
      </w:r>
      <w:r>
        <w:rPr>
          <w:szCs w:val="22"/>
        </w:rPr>
        <w:t>přípravku/kg živé hmotnosti) na den po dobu 7 po sobě jdoucích dnů.</w:t>
      </w:r>
    </w:p>
    <w:p w14:paraId="48BAA4EB" w14:textId="77777777" w:rsidR="007D0A22" w:rsidRDefault="007D0A22" w:rsidP="007D0A2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3B5594A7" w14:textId="39B819F4" w:rsidR="007D0A22" w:rsidRPr="002323AF" w:rsidRDefault="007D0A22" w:rsidP="007D0A22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>
        <w:rPr>
          <w:szCs w:val="22"/>
          <w:u w:val="single"/>
        </w:rPr>
        <w:t>Skot (neruminující telata):</w:t>
      </w:r>
    </w:p>
    <w:p w14:paraId="5D3496DE" w14:textId="1A8E7B08" w:rsidR="007D0A22" w:rsidRDefault="007D0A22" w:rsidP="007D0A2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rPr>
          <w:szCs w:val="22"/>
        </w:rPr>
        <w:t xml:space="preserve">Podávat 40 000 IU apramycin sulfátu na kilogram živé hmotnosti (odpovídá 72 mg </w:t>
      </w:r>
      <w:r w:rsidR="006645CE">
        <w:rPr>
          <w:szCs w:val="22"/>
        </w:rPr>
        <w:t xml:space="preserve">veterinárního léčivého </w:t>
      </w:r>
      <w:r>
        <w:rPr>
          <w:szCs w:val="22"/>
        </w:rPr>
        <w:t>přípravku/kg živé hmotnosti) na den po dobu 5 po sobě jdoucích dnů.</w:t>
      </w:r>
    </w:p>
    <w:p w14:paraId="458CB870" w14:textId="77777777" w:rsidR="007D0A22" w:rsidRDefault="007D0A22" w:rsidP="007D0A2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428C68D8" w14:textId="66C87477" w:rsidR="007D0A22" w:rsidRPr="002323AF" w:rsidRDefault="006645CE" w:rsidP="007D0A22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>
        <w:rPr>
          <w:szCs w:val="22"/>
          <w:u w:val="single"/>
        </w:rPr>
        <w:t>Kur domácí (brojleři)</w:t>
      </w:r>
      <w:r w:rsidR="007D0A22">
        <w:rPr>
          <w:szCs w:val="22"/>
          <w:u w:val="single"/>
        </w:rPr>
        <w:t>:</w:t>
      </w:r>
    </w:p>
    <w:p w14:paraId="1F9EFD3D" w14:textId="7A0B8DF6" w:rsidR="007D0A22" w:rsidRDefault="007D0A22" w:rsidP="007D0A2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rPr>
          <w:szCs w:val="22"/>
        </w:rPr>
        <w:t xml:space="preserve">Podávat 80 000 IU apramycin sulfátu na kilogram živé hmotnosti (odpovídá 144 mg </w:t>
      </w:r>
      <w:r w:rsidR="006645CE">
        <w:rPr>
          <w:szCs w:val="22"/>
        </w:rPr>
        <w:t xml:space="preserve">veterinárního léčivého </w:t>
      </w:r>
      <w:r>
        <w:rPr>
          <w:szCs w:val="22"/>
        </w:rPr>
        <w:t>přípravku/kg živé hmotnosti) na den po dobu 5 po sobě jdoucích dnů.</w:t>
      </w:r>
    </w:p>
    <w:p w14:paraId="3165CDAD" w14:textId="77777777" w:rsidR="007D0A22" w:rsidRDefault="007D0A22" w:rsidP="007D0A2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29902863" w14:textId="77777777" w:rsidR="007D0A22" w:rsidRPr="002323AF" w:rsidRDefault="007D0A22" w:rsidP="007D0A22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>
        <w:rPr>
          <w:szCs w:val="22"/>
          <w:u w:val="single"/>
        </w:rPr>
        <w:t>Králíci:</w:t>
      </w:r>
    </w:p>
    <w:p w14:paraId="619D20A0" w14:textId="571E2143" w:rsidR="007D0A22" w:rsidRPr="007D0A22" w:rsidRDefault="007D0A22" w:rsidP="00A9226B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rPr>
          <w:szCs w:val="22"/>
        </w:rPr>
        <w:t xml:space="preserve">Podávat 20 000 IU apramycin sulfátu na kilogram živé hmotnosti (odpovídá 36 mg </w:t>
      </w:r>
      <w:r w:rsidR="006645CE">
        <w:rPr>
          <w:szCs w:val="22"/>
        </w:rPr>
        <w:t xml:space="preserve">veterinárního léčivého </w:t>
      </w:r>
      <w:r>
        <w:rPr>
          <w:szCs w:val="22"/>
        </w:rPr>
        <w:t>přípravku/kg živé hmotnosti) na den po dobu 5 po sobě jdoucích dnů.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42226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DC2CA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FEA0781" w14:textId="77777777" w:rsidR="007D0A22" w:rsidRPr="00456EF3" w:rsidRDefault="007D0A22" w:rsidP="00DC2C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Příjem medikované vody závisí na klinickém stavu zvířat. Aby bylo dosaženo správné dávky, musí být příslušným způsobem upravena koncentrace veterinárního léčivého přípravku.</w:t>
      </w:r>
    </w:p>
    <w:p w14:paraId="402E9CA1" w14:textId="3328D65E" w:rsidR="007D0A22" w:rsidRDefault="00B56DCC" w:rsidP="00DC2C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B56DCC">
        <w:rPr>
          <w:szCs w:val="22"/>
        </w:rPr>
        <w:t xml:space="preserve">Na základě doporučené dávky a počtu a hmotnosti zvířat, která je třeba </w:t>
      </w:r>
      <w:r w:rsidR="002310BC">
        <w:rPr>
          <w:szCs w:val="22"/>
        </w:rPr>
        <w:t>léčit</w:t>
      </w:r>
      <w:r w:rsidRPr="00B56DCC">
        <w:rPr>
          <w:szCs w:val="22"/>
        </w:rPr>
        <w:t>, se přesná denní koncentrace veterinárního léčivého přípravku vypočítá podle následujícího vzorce</w:t>
      </w:r>
      <w:r w:rsidR="007D0A22">
        <w:rPr>
          <w:szCs w:val="22"/>
        </w:rPr>
        <w:t>:</w:t>
      </w:r>
    </w:p>
    <w:p w14:paraId="573BB23D" w14:textId="77777777" w:rsidR="007D0A22" w:rsidRDefault="007D0A22" w:rsidP="007D0A2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9"/>
        <w:gridCol w:w="775"/>
        <w:gridCol w:w="2760"/>
        <w:gridCol w:w="606"/>
        <w:gridCol w:w="3031"/>
      </w:tblGrid>
      <w:tr w:rsidR="007D0A22" w14:paraId="46562EE5" w14:textId="77777777" w:rsidTr="00275820">
        <w:trPr>
          <w:trHeight w:val="383"/>
        </w:trPr>
        <w:tc>
          <w:tcPr>
            <w:tcW w:w="1956" w:type="dxa"/>
            <w:vMerge w:val="restart"/>
            <w:tcBorders>
              <w:bottom w:val="single" w:sz="4" w:space="0" w:color="auto"/>
            </w:tcBorders>
            <w:vAlign w:val="center"/>
          </w:tcPr>
          <w:p w14:paraId="2831C1A0" w14:textId="2A179152" w:rsidR="007D0A22" w:rsidRPr="00523AA1" w:rsidRDefault="007D0A22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szCs w:val="22"/>
              </w:rPr>
              <w:t xml:space="preserve">Dávka (mg </w:t>
            </w:r>
            <w:r w:rsidR="002310BC">
              <w:rPr>
                <w:szCs w:val="22"/>
              </w:rPr>
              <w:t xml:space="preserve">veterinárního léčivého </w:t>
            </w:r>
            <w:r>
              <w:rPr>
                <w:szCs w:val="22"/>
              </w:rPr>
              <w:t>přípravku na kilogram živé hmotnosti na den)</w:t>
            </w:r>
          </w:p>
        </w:tc>
        <w:tc>
          <w:tcPr>
            <w:tcW w:w="820" w:type="dxa"/>
            <w:vMerge w:val="restart"/>
            <w:tcBorders>
              <w:bottom w:val="single" w:sz="4" w:space="0" w:color="auto"/>
            </w:tcBorders>
            <w:vAlign w:val="center"/>
          </w:tcPr>
          <w:p w14:paraId="17DDED72" w14:textId="77777777" w:rsidR="007D0A22" w:rsidRPr="00523AA1" w:rsidRDefault="007D0A22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szCs w:val="22"/>
              </w:rPr>
              <w:t>X</w:t>
            </w:r>
          </w:p>
        </w:tc>
        <w:tc>
          <w:tcPr>
            <w:tcW w:w="2950" w:type="dxa"/>
            <w:vMerge w:val="restart"/>
            <w:tcBorders>
              <w:bottom w:val="single" w:sz="4" w:space="0" w:color="auto"/>
            </w:tcBorders>
            <w:vAlign w:val="center"/>
          </w:tcPr>
          <w:p w14:paraId="37EAEB7B" w14:textId="40B4A585" w:rsidR="007D0A22" w:rsidRPr="00523AA1" w:rsidRDefault="007D0A22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szCs w:val="22"/>
              </w:rPr>
              <w:t xml:space="preserve">průměrná živá hmotnost (kg) zvířat, která mají být </w:t>
            </w:r>
            <w:r w:rsidR="000F32D8">
              <w:rPr>
                <w:szCs w:val="22"/>
              </w:rPr>
              <w:t>léčena</w:t>
            </w:r>
          </w:p>
        </w:tc>
        <w:tc>
          <w:tcPr>
            <w:tcW w:w="3850" w:type="dxa"/>
            <w:gridSpan w:val="2"/>
            <w:vAlign w:val="center"/>
          </w:tcPr>
          <w:p w14:paraId="4A58A8F2" w14:textId="77777777" w:rsidR="007D0A22" w:rsidRDefault="007D0A22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7D0A22" w14:paraId="1D5E6B24" w14:textId="77777777" w:rsidTr="00275820">
        <w:trPr>
          <w:trHeight w:val="382"/>
        </w:trPr>
        <w:tc>
          <w:tcPr>
            <w:tcW w:w="1956" w:type="dxa"/>
            <w:vMerge/>
            <w:tcBorders>
              <w:bottom w:val="single" w:sz="4" w:space="0" w:color="auto"/>
            </w:tcBorders>
            <w:vAlign w:val="center"/>
          </w:tcPr>
          <w:p w14:paraId="7351DF01" w14:textId="77777777" w:rsidR="007D0A22" w:rsidRPr="00523AA1" w:rsidRDefault="007D0A22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20" w:type="dxa"/>
            <w:vMerge/>
            <w:tcBorders>
              <w:bottom w:val="single" w:sz="4" w:space="0" w:color="auto"/>
            </w:tcBorders>
            <w:vAlign w:val="center"/>
          </w:tcPr>
          <w:p w14:paraId="26E52512" w14:textId="77777777" w:rsidR="007D0A22" w:rsidRPr="00523AA1" w:rsidRDefault="007D0A22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950" w:type="dxa"/>
            <w:vMerge/>
            <w:tcBorders>
              <w:bottom w:val="single" w:sz="4" w:space="0" w:color="auto"/>
            </w:tcBorders>
            <w:vAlign w:val="center"/>
          </w:tcPr>
          <w:p w14:paraId="3FCBF92F" w14:textId="77777777" w:rsidR="007D0A22" w:rsidRPr="00523AA1" w:rsidRDefault="007D0A22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636" w:type="dxa"/>
            <w:vMerge w:val="restart"/>
            <w:vAlign w:val="center"/>
          </w:tcPr>
          <w:p w14:paraId="0F234B28" w14:textId="77777777" w:rsidR="007D0A22" w:rsidRDefault="007D0A22" w:rsidP="00275820">
            <w:pPr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szCs w:val="22"/>
              </w:rPr>
              <w:t>=</w:t>
            </w:r>
          </w:p>
        </w:tc>
        <w:tc>
          <w:tcPr>
            <w:tcW w:w="3214" w:type="dxa"/>
            <w:vMerge w:val="restart"/>
            <w:vAlign w:val="center"/>
          </w:tcPr>
          <w:p w14:paraId="5806F128" w14:textId="0ED4D46F" w:rsidR="007D0A22" w:rsidRDefault="007D0A22" w:rsidP="00275820">
            <w:pPr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szCs w:val="22"/>
              </w:rPr>
              <w:t xml:space="preserve">mg </w:t>
            </w:r>
            <w:r w:rsidR="002310BC">
              <w:rPr>
                <w:szCs w:val="22"/>
              </w:rPr>
              <w:t xml:space="preserve">veterinárního léčivého </w:t>
            </w:r>
            <w:r>
              <w:rPr>
                <w:szCs w:val="22"/>
              </w:rPr>
              <w:t>přípravku na litr pitné vody/mléka</w:t>
            </w:r>
          </w:p>
        </w:tc>
      </w:tr>
      <w:tr w:rsidR="007D0A22" w14:paraId="56EF11AB" w14:textId="77777777" w:rsidTr="00275820">
        <w:trPr>
          <w:trHeight w:val="253"/>
        </w:trPr>
        <w:tc>
          <w:tcPr>
            <w:tcW w:w="572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A41153A" w14:textId="77777777" w:rsidR="007D0A22" w:rsidRDefault="007D0A22" w:rsidP="00275820">
            <w:pPr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szCs w:val="22"/>
              </w:rPr>
              <w:t>Průměrná denní spotřeba vody (l/zvíře)</w:t>
            </w:r>
          </w:p>
        </w:tc>
        <w:tc>
          <w:tcPr>
            <w:tcW w:w="636" w:type="dxa"/>
            <w:vMerge/>
            <w:vAlign w:val="center"/>
          </w:tcPr>
          <w:p w14:paraId="3DD8210C" w14:textId="77777777" w:rsidR="007D0A22" w:rsidRPr="00523AA1" w:rsidRDefault="007D0A22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214" w:type="dxa"/>
            <w:vMerge/>
            <w:vAlign w:val="center"/>
          </w:tcPr>
          <w:p w14:paraId="27788E12" w14:textId="77777777" w:rsidR="007D0A22" w:rsidRDefault="007D0A22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7D0A22" w14:paraId="1EE8CB9B" w14:textId="77777777" w:rsidTr="00275820">
        <w:tc>
          <w:tcPr>
            <w:tcW w:w="5726" w:type="dxa"/>
            <w:gridSpan w:val="3"/>
            <w:vMerge/>
            <w:vAlign w:val="center"/>
          </w:tcPr>
          <w:p w14:paraId="2C85B1C0" w14:textId="77777777" w:rsidR="007D0A22" w:rsidRDefault="007D0A22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636" w:type="dxa"/>
            <w:vAlign w:val="center"/>
          </w:tcPr>
          <w:p w14:paraId="2000EA6B" w14:textId="77777777" w:rsidR="007D0A22" w:rsidRDefault="007D0A22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214" w:type="dxa"/>
            <w:vAlign w:val="center"/>
          </w:tcPr>
          <w:p w14:paraId="5E2DD247" w14:textId="77777777" w:rsidR="007D0A22" w:rsidRDefault="007D0A22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</w:tr>
    </w:tbl>
    <w:p w14:paraId="63D7BCAB" w14:textId="77777777" w:rsidR="007D0A22" w:rsidRDefault="007D0A22" w:rsidP="007D0A22">
      <w:pPr>
        <w:tabs>
          <w:tab w:val="clear" w:pos="567"/>
        </w:tabs>
        <w:spacing w:line="240" w:lineRule="auto"/>
        <w:rPr>
          <w:rFonts w:eastAsia="Calibri"/>
          <w:sz w:val="18"/>
          <w:szCs w:val="18"/>
        </w:rPr>
      </w:pPr>
    </w:p>
    <w:p w14:paraId="666DD146" w14:textId="77777777" w:rsidR="007D0A22" w:rsidRPr="00EB25BE" w:rsidRDefault="007D0A22" w:rsidP="00DC2CA1">
      <w:pPr>
        <w:tabs>
          <w:tab w:val="clear" w:pos="567"/>
        </w:tabs>
        <w:spacing w:line="240" w:lineRule="auto"/>
        <w:jc w:val="both"/>
        <w:rPr>
          <w:rFonts w:eastAsia="Arial"/>
          <w:w w:val="104"/>
          <w:sz w:val="17"/>
          <w:szCs w:val="17"/>
        </w:rPr>
      </w:pPr>
    </w:p>
    <w:p w14:paraId="1E024C83" w14:textId="4510DB03" w:rsidR="007D0A22" w:rsidRPr="00456EF3" w:rsidRDefault="00104709" w:rsidP="00DC2C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104709">
        <w:rPr>
          <w:szCs w:val="22"/>
        </w:rPr>
        <w:t>K zajištění správného dávkování je třeba co nejpřesněji stanovit živou hmotnost. Roztok připravte s čerstvou pitnou vodou (nebo pro telata s mlékem/mléčnou náhražkou) bezprostředně</w:t>
      </w:r>
      <w:r>
        <w:rPr>
          <w:szCs w:val="22"/>
        </w:rPr>
        <w:t xml:space="preserve"> </w:t>
      </w:r>
      <w:r w:rsidR="007D0A22">
        <w:rPr>
          <w:szCs w:val="22"/>
        </w:rPr>
        <w:t>před použitím.  Medikovaná pitná voda by se měla obměňovat každých 24 hodin. Mléčná náhražka by se měla připravit před přidáním p</w:t>
      </w:r>
      <w:r>
        <w:rPr>
          <w:szCs w:val="22"/>
        </w:rPr>
        <w:t>rášku</w:t>
      </w:r>
      <w:r w:rsidR="007D0A22">
        <w:rPr>
          <w:szCs w:val="22"/>
        </w:rPr>
        <w:t xml:space="preserve">. Roztok by se měl </w:t>
      </w:r>
      <w:r>
        <w:rPr>
          <w:szCs w:val="22"/>
        </w:rPr>
        <w:t xml:space="preserve">důkladně </w:t>
      </w:r>
      <w:r w:rsidR="007D0A22">
        <w:rPr>
          <w:szCs w:val="22"/>
        </w:rPr>
        <w:t>míchat po dobu 5 minut.</w:t>
      </w:r>
      <w:r w:rsidR="007D0A22">
        <w:t xml:space="preserve"> </w:t>
      </w:r>
      <w:r w:rsidR="007D0A22">
        <w:rPr>
          <w:szCs w:val="22"/>
        </w:rPr>
        <w:t xml:space="preserve">Medikované mléko/mléčná náhražka by se měla </w:t>
      </w:r>
      <w:r>
        <w:rPr>
          <w:szCs w:val="22"/>
        </w:rPr>
        <w:t xml:space="preserve">spotřebovat </w:t>
      </w:r>
      <w:r w:rsidR="007D0A22">
        <w:rPr>
          <w:szCs w:val="22"/>
        </w:rPr>
        <w:t>okamžitě po přípravě</w:t>
      </w:r>
      <w:r>
        <w:rPr>
          <w:szCs w:val="22"/>
        </w:rPr>
        <w:t>. P</w:t>
      </w:r>
      <w:r w:rsidR="007D0A22">
        <w:rPr>
          <w:szCs w:val="22"/>
        </w:rPr>
        <w:t xml:space="preserve">říjem vody by se měl během medikace monitorovat v pravidelných intervalech. </w:t>
      </w:r>
      <w:r w:rsidR="009C153A" w:rsidRPr="009C153A">
        <w:rPr>
          <w:szCs w:val="22"/>
        </w:rPr>
        <w:t>Aby byl zajištěn příjem medikované vody, zvířata nesmí mít během léčby přístup k jiným zdrojům vody</w:t>
      </w:r>
      <w:r w:rsidR="007D0A22">
        <w:rPr>
          <w:szCs w:val="22"/>
        </w:rPr>
        <w:t>. Po ukončení medikace by se měl napájecí systém řádně vyčistit, aby se předešlo příjmu léčivé látky v nižším než terapeutickém množství</w:t>
      </w:r>
      <w:r w:rsidR="00587340">
        <w:rPr>
          <w:szCs w:val="22"/>
        </w:rPr>
        <w:t>.</w:t>
      </w:r>
      <w:r w:rsidR="009C153A" w:rsidRPr="009C153A">
        <w:t xml:space="preserve"> </w:t>
      </w:r>
      <w:r w:rsidR="009C153A" w:rsidRPr="009C153A">
        <w:rPr>
          <w:szCs w:val="22"/>
        </w:rPr>
        <w:t>Není-li možné zajistit dostatečný příjem medikované vody, měla by zvířata být léčena</w:t>
      </w:r>
      <w:r w:rsidR="007D0A22">
        <w:rPr>
          <w:szCs w:val="22"/>
        </w:rPr>
        <w:t xml:space="preserve"> parenterálně (tam, kde je to vhodné). Maximální rozpustnost veterinárního léčivého přípravku ve vodě a v mléčné náhražce je přibližně 1000 g/l. </w:t>
      </w:r>
      <w:r w:rsidR="009C153A" w:rsidRPr="009C153A">
        <w:rPr>
          <w:szCs w:val="22"/>
        </w:rPr>
        <w:t>Doporučuje se používat vhodně kalibrované měřicí prostředky</w:t>
      </w:r>
      <w:r w:rsidR="007D0A22">
        <w:rPr>
          <w:szCs w:val="22"/>
        </w:rPr>
        <w:t>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42226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D319A0" w14:textId="32AEC9CC" w:rsidR="00BC713C" w:rsidRPr="009E5F55" w:rsidRDefault="00BC713C" w:rsidP="00BC713C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rPr>
          <w:iCs/>
          <w:szCs w:val="22"/>
        </w:rPr>
        <w:t>Prasata (</w:t>
      </w:r>
      <w:r w:rsidR="000A707B">
        <w:rPr>
          <w:iCs/>
          <w:szCs w:val="22"/>
        </w:rPr>
        <w:t>po odstavu</w:t>
      </w:r>
      <w:r>
        <w:rPr>
          <w:iCs/>
          <w:szCs w:val="22"/>
        </w:rPr>
        <w:t>):</w:t>
      </w:r>
    </w:p>
    <w:p w14:paraId="728ADFF8" w14:textId="76806A6D" w:rsidR="00BC713C" w:rsidRPr="009E5F55" w:rsidRDefault="00BC713C" w:rsidP="00BC713C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rPr>
          <w:iCs/>
          <w:szCs w:val="22"/>
        </w:rPr>
        <w:t>- Maso: Bez ochranných lhůt.</w:t>
      </w:r>
    </w:p>
    <w:p w14:paraId="54BF2CEC" w14:textId="377FD734" w:rsidR="00BC713C" w:rsidRPr="009E5F55" w:rsidRDefault="000A707B" w:rsidP="00BC713C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rPr>
          <w:iCs/>
          <w:szCs w:val="22"/>
        </w:rPr>
        <w:t xml:space="preserve">Skot </w:t>
      </w:r>
      <w:r w:rsidR="00BC713C">
        <w:rPr>
          <w:iCs/>
          <w:szCs w:val="22"/>
        </w:rPr>
        <w:t>(neruminující telata):</w:t>
      </w:r>
    </w:p>
    <w:p w14:paraId="452B2F14" w14:textId="3E6FA641" w:rsidR="00BC713C" w:rsidRPr="009E5F55" w:rsidRDefault="00BC713C" w:rsidP="00BC713C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rPr>
          <w:iCs/>
          <w:szCs w:val="22"/>
        </w:rPr>
        <w:t>- Maso: 28 dnů</w:t>
      </w:r>
      <w:r w:rsidR="005A783D">
        <w:rPr>
          <w:iCs/>
          <w:szCs w:val="22"/>
        </w:rPr>
        <w:t>.</w:t>
      </w:r>
    </w:p>
    <w:p w14:paraId="24B9E7D6" w14:textId="43FA742E" w:rsidR="00BC713C" w:rsidRPr="009E5F55" w:rsidRDefault="00BC713C" w:rsidP="00BC713C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rPr>
          <w:iCs/>
          <w:szCs w:val="22"/>
        </w:rPr>
        <w:t>Kur domácí</w:t>
      </w:r>
      <w:r w:rsidR="000A707B">
        <w:rPr>
          <w:iCs/>
          <w:szCs w:val="22"/>
        </w:rPr>
        <w:t xml:space="preserve"> (brojleři)</w:t>
      </w:r>
      <w:r>
        <w:rPr>
          <w:iCs/>
          <w:szCs w:val="22"/>
        </w:rPr>
        <w:t>:</w:t>
      </w:r>
    </w:p>
    <w:p w14:paraId="0AFFC0DB" w14:textId="5C49E693" w:rsidR="00BC713C" w:rsidRDefault="00BC713C" w:rsidP="00BC713C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- Maso: Bez ochranných lhůt. </w:t>
      </w:r>
    </w:p>
    <w:p w14:paraId="1096494F" w14:textId="45EC8D50" w:rsidR="00BC713C" w:rsidRDefault="000A707B" w:rsidP="00BC713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Nepoužívat u ptáků, jejichž vejce jsou určena pro lidskou spotřebu. </w:t>
      </w:r>
      <w:r w:rsidR="00BC713C">
        <w:rPr>
          <w:szCs w:val="22"/>
        </w:rPr>
        <w:t xml:space="preserve">Nepoužívat během 4 týdnů před </w:t>
      </w:r>
      <w:r>
        <w:rPr>
          <w:szCs w:val="22"/>
        </w:rPr>
        <w:t>za</w:t>
      </w:r>
      <w:r w:rsidR="00BC713C">
        <w:rPr>
          <w:szCs w:val="22"/>
        </w:rPr>
        <w:t>čátkem snášky.</w:t>
      </w:r>
    </w:p>
    <w:p w14:paraId="70871491" w14:textId="77777777" w:rsidR="00BC713C" w:rsidRPr="009E5F55" w:rsidRDefault="00BC713C" w:rsidP="00BC713C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rPr>
          <w:szCs w:val="22"/>
        </w:rPr>
        <w:t xml:space="preserve">Králíci: </w:t>
      </w:r>
    </w:p>
    <w:p w14:paraId="092CF9B6" w14:textId="1EF609E9" w:rsidR="00BC713C" w:rsidRDefault="00BC713C" w:rsidP="00BC713C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- Maso: Bez ochranných lhůt.</w:t>
      </w:r>
    </w:p>
    <w:p w14:paraId="4E2DDDEA" w14:textId="77777777" w:rsidR="00BC713C" w:rsidRPr="00B41D57" w:rsidRDefault="00BC713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42226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C4222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0F40C19" w14:textId="682B6EC4" w:rsidR="00CF0216" w:rsidRDefault="00CF0216" w:rsidP="001D4CE4">
      <w:pPr>
        <w:pStyle w:val="Style5"/>
        <w:rPr>
          <w:szCs w:val="20"/>
        </w:rPr>
      </w:pPr>
      <w:r w:rsidRPr="00CF0216">
        <w:rPr>
          <w:szCs w:val="20"/>
        </w:rPr>
        <w:t>Uchovávejte při teplotě do 25 °C</w:t>
      </w:r>
      <w:r w:rsidR="000F1E6B">
        <w:rPr>
          <w:szCs w:val="20"/>
        </w:rPr>
        <w:t>.</w:t>
      </w:r>
    </w:p>
    <w:p w14:paraId="3EAF9615" w14:textId="77777777" w:rsidR="00CF0216" w:rsidRDefault="00CF0216" w:rsidP="001D4CE4">
      <w:pPr>
        <w:pStyle w:val="Style5"/>
        <w:rPr>
          <w:szCs w:val="20"/>
        </w:rPr>
      </w:pPr>
    </w:p>
    <w:p w14:paraId="16ACAFE0" w14:textId="7AB1CB4F" w:rsidR="00CF0216" w:rsidRPr="00B41D57" w:rsidRDefault="00CF0216" w:rsidP="00CF021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 po E</w:t>
      </w:r>
      <w:r>
        <w:t>xp</w:t>
      </w:r>
      <w:r w:rsidRPr="00B41D57">
        <w:t>. Doba použitelnosti končí posledním dnem v uvedeném měsíci.</w:t>
      </w:r>
    </w:p>
    <w:p w14:paraId="14D4959D" w14:textId="77777777" w:rsidR="00CF0216" w:rsidRDefault="00CF0216" w:rsidP="001D4CE4">
      <w:pPr>
        <w:pStyle w:val="Style5"/>
        <w:rPr>
          <w:szCs w:val="20"/>
        </w:rPr>
      </w:pPr>
    </w:p>
    <w:p w14:paraId="50597C0E" w14:textId="77777777" w:rsidR="00CF0216" w:rsidRDefault="00CF0216" w:rsidP="001D4CE4">
      <w:pPr>
        <w:pStyle w:val="Style5"/>
        <w:rPr>
          <w:szCs w:val="20"/>
        </w:rPr>
      </w:pPr>
    </w:p>
    <w:p w14:paraId="30FA7651" w14:textId="77777777" w:rsidR="0023163F" w:rsidRDefault="0023163F" w:rsidP="0023163F">
      <w:pPr>
        <w:tabs>
          <w:tab w:val="clear" w:pos="567"/>
        </w:tabs>
        <w:spacing w:line="240" w:lineRule="auto"/>
        <w:rPr>
          <w:szCs w:val="22"/>
        </w:rPr>
      </w:pPr>
      <w:r w:rsidRPr="00F30D3F">
        <w:t>Doba použitelnosti po prvním otevření vnitřního obalu</w:t>
      </w:r>
      <w:r>
        <w:rPr>
          <w:szCs w:val="22"/>
        </w:rPr>
        <w:t xml:space="preserve"> (lahvička a pytel): 28 dnů.</w:t>
      </w:r>
    </w:p>
    <w:p w14:paraId="1399CCE2" w14:textId="77777777" w:rsidR="0023163F" w:rsidRPr="00EB25BE" w:rsidRDefault="0023163F" w:rsidP="002316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Doba použitelnosti po prvním otevření vnitřního obalu (sáček): spotřebujte ihned. </w:t>
      </w:r>
    </w:p>
    <w:p w14:paraId="0E55AA35" w14:textId="77777777" w:rsidR="0023163F" w:rsidRPr="00EB25BE" w:rsidRDefault="0023163F" w:rsidP="0023163F">
      <w:pPr>
        <w:autoSpaceDE w:val="0"/>
        <w:autoSpaceDN w:val="0"/>
        <w:adjustRightInd w:val="0"/>
        <w:spacing w:line="240" w:lineRule="auto"/>
      </w:pPr>
      <w:r>
        <w:t xml:space="preserve">Doba použitelnosti po rozpuštění v pitné vodě: 24 hodin. </w:t>
      </w:r>
    </w:p>
    <w:p w14:paraId="076F7E43" w14:textId="77777777" w:rsidR="0023163F" w:rsidRDefault="0023163F" w:rsidP="0023163F">
      <w:pPr>
        <w:autoSpaceDE w:val="0"/>
        <w:autoSpaceDN w:val="0"/>
        <w:adjustRightInd w:val="0"/>
        <w:spacing w:line="240" w:lineRule="auto"/>
      </w:pPr>
      <w:r>
        <w:t>Doba použitelnosti po rozpuštění v náhražce mléka: spotřebujte ihned.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C42226" w:rsidP="00C23590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C2359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25E5965" w14:textId="77777777" w:rsidR="00BF7936" w:rsidRPr="00B41D57" w:rsidRDefault="00BF7936" w:rsidP="00BF7936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8982266" w14:textId="77777777" w:rsidR="00BF7936" w:rsidRPr="00B41D57" w:rsidRDefault="00BF7936" w:rsidP="00BF7936">
      <w:pPr>
        <w:tabs>
          <w:tab w:val="clear" w:pos="567"/>
        </w:tabs>
        <w:spacing w:line="240" w:lineRule="auto"/>
        <w:rPr>
          <w:szCs w:val="22"/>
        </w:rPr>
      </w:pPr>
    </w:p>
    <w:p w14:paraId="0F6C916D" w14:textId="5FE6ECEF" w:rsidR="00BF7936" w:rsidRPr="00B41D57" w:rsidRDefault="00BF7936" w:rsidP="00BF7936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Všechen nepoužitý veterinární léčivý přípravek nebo odpad, který pochází z tohoto přípravku, likvidujte odevzdáním v souladu s místními požadavky a </w:t>
      </w:r>
      <w:r w:rsidR="001D674E">
        <w:t xml:space="preserve">platnými </w:t>
      </w:r>
      <w:r w:rsidRPr="00B41D57">
        <w:t>národními systémy sběru</w:t>
      </w:r>
      <w:r w:rsidR="001D674E">
        <w:t>. Tato opatření napomáhají chránit životní prostředí.</w:t>
      </w:r>
      <w:r>
        <w:br/>
      </w:r>
    </w:p>
    <w:p w14:paraId="085349A6" w14:textId="195028C8" w:rsidR="00C114FF" w:rsidRPr="00B41D57" w:rsidRDefault="00C4222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BF7936">
        <w:t xml:space="preserve"> </w:t>
      </w:r>
      <w:r w:rsidRPr="00B41D57">
        <w:t>nebo</w:t>
      </w:r>
      <w:r w:rsidR="00BF7936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C42226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7A4" w14:textId="77777777" w:rsidR="00086278" w:rsidRPr="00B41D57" w:rsidRDefault="00086278" w:rsidP="00086278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7CF50449" w14:textId="77777777" w:rsidR="00086278" w:rsidRPr="00B41D57" w:rsidRDefault="000862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C42226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EB69CC" w14:textId="77777777" w:rsidR="00DC2CA1" w:rsidRDefault="00DC2CA1" w:rsidP="00086278">
      <w:pPr>
        <w:keepNext/>
        <w:keepLines/>
        <w:tabs>
          <w:tab w:val="clear" w:pos="567"/>
        </w:tabs>
        <w:spacing w:line="240" w:lineRule="auto"/>
        <w:jc w:val="both"/>
      </w:pPr>
      <w:r w:rsidRPr="00DC2CA1">
        <w:t>96/060/18-C</w:t>
      </w:r>
    </w:p>
    <w:p w14:paraId="41D1D059" w14:textId="77777777" w:rsidR="00DC2CA1" w:rsidRDefault="00DC2CA1" w:rsidP="00086278">
      <w:pPr>
        <w:keepNext/>
        <w:keepLines/>
        <w:tabs>
          <w:tab w:val="clear" w:pos="567"/>
        </w:tabs>
        <w:spacing w:line="240" w:lineRule="auto"/>
        <w:jc w:val="both"/>
      </w:pPr>
    </w:p>
    <w:p w14:paraId="02BD46A4" w14:textId="24468E67" w:rsidR="00086278" w:rsidRDefault="00086278" w:rsidP="00086278">
      <w:pPr>
        <w:keepNext/>
        <w:keepLines/>
        <w:tabs>
          <w:tab w:val="clear" w:pos="567"/>
        </w:tabs>
        <w:spacing w:line="240" w:lineRule="auto"/>
        <w:jc w:val="both"/>
      </w:pPr>
      <w:r>
        <w:t xml:space="preserve">HDPE </w:t>
      </w:r>
      <w:r w:rsidR="000F1E6B">
        <w:t xml:space="preserve">láhev </w:t>
      </w:r>
      <w:r>
        <w:t xml:space="preserve">s polypropylenovými šroubovacími uzávěry </w:t>
      </w:r>
    </w:p>
    <w:p w14:paraId="324BA206" w14:textId="6DB9EDC4" w:rsidR="00086278" w:rsidRDefault="00086278" w:rsidP="00086278">
      <w:pPr>
        <w:keepNext/>
        <w:keepLines/>
        <w:tabs>
          <w:tab w:val="clear" w:pos="567"/>
        </w:tabs>
        <w:spacing w:line="240" w:lineRule="auto"/>
        <w:jc w:val="both"/>
      </w:pPr>
      <w:r>
        <w:t>Sáček z polyethylenu/hliníku/polypropylenu</w:t>
      </w:r>
    </w:p>
    <w:p w14:paraId="1A938C9D" w14:textId="42D0BA95" w:rsidR="00086278" w:rsidRDefault="00086278" w:rsidP="00086278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  <w:rPr>
          <w:szCs w:val="22"/>
        </w:rPr>
      </w:pPr>
      <w:r>
        <w:t>Laminovan</w:t>
      </w:r>
      <w:r w:rsidR="000F1E6B">
        <w:t>ý</w:t>
      </w:r>
      <w:r>
        <w:t xml:space="preserve"> uzavírateln</w:t>
      </w:r>
      <w:r w:rsidR="000F1E6B">
        <w:t>ý</w:t>
      </w:r>
      <w:r>
        <w:t xml:space="preserve"> </w:t>
      </w:r>
      <w:r w:rsidR="000F1E6B">
        <w:t xml:space="preserve">pytel </w:t>
      </w:r>
      <w:r>
        <w:t xml:space="preserve">s pevným dnem </w:t>
      </w:r>
      <w:r w:rsidR="000F1E6B">
        <w:t xml:space="preserve">vyrobený </w:t>
      </w:r>
      <w:r>
        <w:t xml:space="preserve">z vrstev polyethylenu/hliníku/polyethylen tereftalátu </w:t>
      </w:r>
    </w:p>
    <w:p w14:paraId="31E3A72F" w14:textId="77777777" w:rsidR="00086278" w:rsidRDefault="00086278" w:rsidP="00086278">
      <w:pPr>
        <w:keepNext/>
        <w:keepLines/>
        <w:tabs>
          <w:tab w:val="clear" w:pos="567"/>
        </w:tabs>
        <w:spacing w:line="240" w:lineRule="auto"/>
        <w:jc w:val="both"/>
      </w:pPr>
    </w:p>
    <w:p w14:paraId="175F99AC" w14:textId="5EDD8F70" w:rsidR="00086278" w:rsidRDefault="000F1E6B" w:rsidP="00086278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  <w:rPr>
          <w:b/>
          <w:szCs w:val="22"/>
        </w:rPr>
      </w:pPr>
      <w:r>
        <w:rPr>
          <w:szCs w:val="22"/>
        </w:rPr>
        <w:t>Láhev</w:t>
      </w:r>
      <w:r>
        <w:rPr>
          <w:b/>
          <w:szCs w:val="22"/>
        </w:rPr>
        <w:t xml:space="preserve"> </w:t>
      </w:r>
      <w:r w:rsidR="00086278">
        <w:t xml:space="preserve">obsahující 90,58 g nebo 50 000 000 IU </w:t>
      </w:r>
    </w:p>
    <w:p w14:paraId="49970DD6" w14:textId="1E759FCE" w:rsidR="00086278" w:rsidRDefault="00086278" w:rsidP="00086278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</w:pPr>
      <w:r>
        <w:t>Sáč</w:t>
      </w:r>
      <w:r w:rsidR="000F1E6B">
        <w:t>ek</w:t>
      </w:r>
      <w:r>
        <w:t xml:space="preserve"> obsahující 1,812 g nebo 1 000 000 IU</w:t>
      </w:r>
    </w:p>
    <w:p w14:paraId="42FAA6FB" w14:textId="5840B717" w:rsidR="00086278" w:rsidRDefault="000F1E6B" w:rsidP="00086278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  <w:rPr>
          <w:b/>
          <w:szCs w:val="22"/>
        </w:rPr>
      </w:pPr>
      <w:r>
        <w:t xml:space="preserve">Pytel </w:t>
      </w:r>
      <w:r w:rsidR="00086278">
        <w:t xml:space="preserve">obsahující </w:t>
      </w:r>
      <w:r w:rsidR="00086278">
        <w:rPr>
          <w:iCs/>
          <w:szCs w:val="22"/>
        </w:rPr>
        <w:t>1811,6 g nebo 1 000 000 000 IU</w:t>
      </w:r>
    </w:p>
    <w:p w14:paraId="751A035C" w14:textId="75D69EF9" w:rsidR="00086278" w:rsidRDefault="000F1E6B" w:rsidP="00086278">
      <w:pPr>
        <w:keepNext/>
        <w:keepLines/>
        <w:tabs>
          <w:tab w:val="clear" w:pos="567"/>
        </w:tabs>
        <w:spacing w:line="240" w:lineRule="auto"/>
        <w:jc w:val="both"/>
      </w:pPr>
      <w:r>
        <w:t xml:space="preserve">Papírová </w:t>
      </w:r>
      <w:r w:rsidR="00086278">
        <w:t>krabice obsahující 25 sáčků obsahujících 1,812 g nebo 1 000 000 IU</w:t>
      </w:r>
    </w:p>
    <w:p w14:paraId="01FFE101" w14:textId="4B28292A" w:rsidR="00086278" w:rsidRDefault="000F1E6B" w:rsidP="00086278">
      <w:pPr>
        <w:keepNext/>
        <w:keepLines/>
        <w:tabs>
          <w:tab w:val="clear" w:pos="567"/>
        </w:tabs>
        <w:spacing w:line="240" w:lineRule="auto"/>
        <w:jc w:val="both"/>
      </w:pPr>
      <w:r>
        <w:t xml:space="preserve">Papírová </w:t>
      </w:r>
      <w:r w:rsidR="00086278">
        <w:t>krabice obsahující 50 sáčků obsahujících 1,812 g nebo 1 000 000 IU</w:t>
      </w:r>
    </w:p>
    <w:p w14:paraId="2F521BF5" w14:textId="77777777" w:rsidR="00086278" w:rsidRPr="006C44C5" w:rsidRDefault="00086278" w:rsidP="00086278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  <w:rPr>
          <w:szCs w:val="22"/>
        </w:rPr>
      </w:pPr>
      <w:r>
        <w:rPr>
          <w:szCs w:val="22"/>
        </w:rPr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C42226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18F24174" w:rsidR="00DB468A" w:rsidRPr="00B41D57" w:rsidRDefault="009C153A" w:rsidP="00DC2CA1">
      <w:pPr>
        <w:rPr>
          <w:szCs w:val="22"/>
        </w:rPr>
      </w:pPr>
      <w:r>
        <w:t>0</w:t>
      </w:r>
      <w:r w:rsidR="00DC2CA1">
        <w:t>5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2EFE2AA1" w:rsidR="001F1C7E" w:rsidRDefault="00C42226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7B63C2D" w14:textId="552F7472" w:rsidR="009C153A" w:rsidRDefault="009C153A" w:rsidP="001F1C7E">
      <w:pPr>
        <w:tabs>
          <w:tab w:val="clear" w:pos="567"/>
        </w:tabs>
        <w:spacing w:line="240" w:lineRule="auto"/>
        <w:rPr>
          <w:szCs w:val="22"/>
        </w:rPr>
      </w:pPr>
    </w:p>
    <w:p w14:paraId="5FB7B726" w14:textId="40E15B32" w:rsidR="00DC2CA1" w:rsidRDefault="009C153A" w:rsidP="001F1C7E">
      <w:pPr>
        <w:tabs>
          <w:tab w:val="clear" w:pos="567"/>
        </w:tabs>
        <w:spacing w:line="240" w:lineRule="auto"/>
        <w:rPr>
          <w:szCs w:val="22"/>
        </w:rPr>
      </w:pPr>
      <w:r w:rsidRPr="009C153A">
        <w:rPr>
          <w:szCs w:val="22"/>
        </w:rPr>
        <w:t>Podrobné informace o tomto veterinárním léčivém přípravku naleznete také v národní databázi (</w:t>
      </w:r>
      <w:hyperlink r:id="rId11" w:history="1">
        <w:r w:rsidR="00DC2CA1" w:rsidRPr="0001373B">
          <w:rPr>
            <w:rStyle w:val="Hypertextovodkaz"/>
            <w:szCs w:val="22"/>
          </w:rPr>
          <w:t>https://www.uskvbl.cz</w:t>
        </w:r>
      </w:hyperlink>
      <w:r w:rsidR="00DC2CA1">
        <w:rPr>
          <w:szCs w:val="22"/>
        </w:rPr>
        <w:t>).</w:t>
      </w:r>
      <w:bookmarkStart w:id="2" w:name="_GoBack"/>
      <w:bookmarkEnd w:id="2"/>
    </w:p>
    <w:p w14:paraId="18931B0C" w14:textId="57231BDB" w:rsidR="009C153A" w:rsidRPr="006414D3" w:rsidRDefault="009C153A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42226" w:rsidP="00B13B6D">
      <w:pPr>
        <w:pStyle w:val="Style1"/>
      </w:pPr>
      <w:r w:rsidRPr="00B41D57">
        <w:rPr>
          <w:highlight w:val="lightGray"/>
        </w:rPr>
        <w:lastRenderedPageBreak/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591753E" w:rsidR="00DB468A" w:rsidRPr="00B41D57" w:rsidRDefault="00C42226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&lt;a kontaktní údaje pro hlášení podezření na nežádoucí účinky&gt;</w:t>
      </w:r>
      <w:r w:rsidRPr="00B41D57">
        <w:t>:</w:t>
      </w:r>
    </w:p>
    <w:bookmarkEnd w:id="3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D53D52" w14:textId="77777777" w:rsidR="00086278" w:rsidRPr="00086278" w:rsidRDefault="00086278" w:rsidP="00086278">
      <w:pPr>
        <w:tabs>
          <w:tab w:val="clear" w:pos="567"/>
        </w:tabs>
        <w:spacing w:line="240" w:lineRule="auto"/>
        <w:rPr>
          <w:bCs/>
          <w:szCs w:val="22"/>
          <w:lang w:bidi="cs-CZ"/>
        </w:rPr>
      </w:pPr>
      <w:r w:rsidRPr="00086278">
        <w:rPr>
          <w:bCs/>
          <w:szCs w:val="22"/>
          <w:lang w:bidi="cs-CZ"/>
        </w:rPr>
        <w:t>Huvepharma NV</w:t>
      </w:r>
    </w:p>
    <w:p w14:paraId="7B9E4B93" w14:textId="77777777" w:rsidR="00086278" w:rsidRPr="00086278" w:rsidRDefault="00086278" w:rsidP="00086278">
      <w:pPr>
        <w:tabs>
          <w:tab w:val="clear" w:pos="567"/>
        </w:tabs>
        <w:spacing w:line="240" w:lineRule="auto"/>
        <w:rPr>
          <w:bCs/>
          <w:szCs w:val="22"/>
          <w:lang w:bidi="cs-CZ"/>
        </w:rPr>
      </w:pPr>
      <w:r w:rsidRPr="00086278">
        <w:rPr>
          <w:bCs/>
          <w:szCs w:val="22"/>
          <w:lang w:bidi="cs-CZ"/>
        </w:rPr>
        <w:t>Uitbreidingstraat 80</w:t>
      </w:r>
    </w:p>
    <w:p w14:paraId="02C64FFA" w14:textId="1D01C43F" w:rsidR="00086278" w:rsidRPr="00086278" w:rsidRDefault="00086278" w:rsidP="00086278">
      <w:pPr>
        <w:tabs>
          <w:tab w:val="clear" w:pos="567"/>
        </w:tabs>
        <w:spacing w:line="240" w:lineRule="auto"/>
        <w:rPr>
          <w:bCs/>
          <w:szCs w:val="22"/>
          <w:lang w:bidi="cs-CZ"/>
        </w:rPr>
      </w:pPr>
      <w:r w:rsidRPr="00086278">
        <w:rPr>
          <w:bCs/>
          <w:szCs w:val="22"/>
          <w:lang w:bidi="cs-CZ"/>
        </w:rPr>
        <w:t>2600 Antwerp</w:t>
      </w:r>
      <w:r>
        <w:rPr>
          <w:bCs/>
          <w:szCs w:val="22"/>
          <w:lang w:bidi="cs-CZ"/>
        </w:rPr>
        <w:t>y</w:t>
      </w:r>
    </w:p>
    <w:p w14:paraId="0CF6C9D1" w14:textId="77777777" w:rsidR="00086278" w:rsidRPr="00086278" w:rsidRDefault="00086278" w:rsidP="00086278">
      <w:pPr>
        <w:tabs>
          <w:tab w:val="clear" w:pos="567"/>
        </w:tabs>
        <w:spacing w:line="240" w:lineRule="auto"/>
        <w:rPr>
          <w:bCs/>
          <w:szCs w:val="22"/>
          <w:lang w:bidi="cs-CZ"/>
        </w:rPr>
      </w:pPr>
      <w:r w:rsidRPr="00086278">
        <w:rPr>
          <w:bCs/>
          <w:szCs w:val="22"/>
          <w:lang w:bidi="cs-CZ"/>
        </w:rPr>
        <w:t>Belgie</w:t>
      </w:r>
    </w:p>
    <w:p w14:paraId="44090C86" w14:textId="3DD0A4DA" w:rsidR="00086278" w:rsidRDefault="0008627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+32 3 288 18 49</w:t>
      </w:r>
    </w:p>
    <w:p w14:paraId="67A6735F" w14:textId="77777777" w:rsidR="00086278" w:rsidRPr="00B41D57" w:rsidRDefault="000862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C42226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73E70BD9" w14:textId="77777777" w:rsidR="00086278" w:rsidRPr="00086278" w:rsidRDefault="00086278" w:rsidP="00086278">
      <w:pPr>
        <w:rPr>
          <w:bCs/>
          <w:szCs w:val="22"/>
          <w:lang w:bidi="cs-CZ"/>
        </w:rPr>
      </w:pPr>
      <w:r w:rsidRPr="00086278">
        <w:rPr>
          <w:bCs/>
          <w:szCs w:val="22"/>
          <w:lang w:bidi="cs-CZ"/>
        </w:rPr>
        <w:t>Biovet JSC</w:t>
      </w:r>
    </w:p>
    <w:p w14:paraId="01BE6B76" w14:textId="77777777" w:rsidR="00086278" w:rsidRPr="00086278" w:rsidRDefault="00086278" w:rsidP="00086278">
      <w:pPr>
        <w:rPr>
          <w:bCs/>
          <w:szCs w:val="22"/>
          <w:lang w:bidi="cs-CZ"/>
        </w:rPr>
      </w:pPr>
      <w:r w:rsidRPr="00086278">
        <w:rPr>
          <w:bCs/>
          <w:szCs w:val="22"/>
          <w:lang w:bidi="cs-CZ"/>
        </w:rPr>
        <w:t>39 Petar Rakov Str,</w:t>
      </w:r>
    </w:p>
    <w:p w14:paraId="012D4970" w14:textId="77777777" w:rsidR="00086278" w:rsidRPr="00086278" w:rsidRDefault="00086278" w:rsidP="00086278">
      <w:pPr>
        <w:rPr>
          <w:bCs/>
          <w:szCs w:val="22"/>
          <w:lang w:bidi="cs-CZ"/>
        </w:rPr>
      </w:pPr>
      <w:r w:rsidRPr="00086278">
        <w:rPr>
          <w:bCs/>
          <w:szCs w:val="22"/>
          <w:lang w:bidi="cs-CZ"/>
        </w:rPr>
        <w:t>4550 Peshtera</w:t>
      </w:r>
    </w:p>
    <w:p w14:paraId="3D3BF102" w14:textId="416710AD" w:rsidR="003841FC" w:rsidRDefault="00086278" w:rsidP="00086278">
      <w:pPr>
        <w:rPr>
          <w:bCs/>
          <w:szCs w:val="22"/>
          <w:lang w:bidi="cs-CZ"/>
        </w:rPr>
      </w:pPr>
      <w:r w:rsidRPr="00086278">
        <w:rPr>
          <w:bCs/>
          <w:szCs w:val="22"/>
          <w:lang w:bidi="cs-CZ"/>
        </w:rPr>
        <w:t>Bulharsko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8F8A8" w14:textId="77777777" w:rsidR="001339FE" w:rsidRDefault="001339FE">
      <w:pPr>
        <w:spacing w:line="240" w:lineRule="auto"/>
      </w:pPr>
      <w:r>
        <w:separator/>
      </w:r>
    </w:p>
  </w:endnote>
  <w:endnote w:type="continuationSeparator" w:id="0">
    <w:p w14:paraId="4F611424" w14:textId="77777777" w:rsidR="001339FE" w:rsidRDefault="00133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4222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4222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35FD3" w14:textId="77777777" w:rsidR="001339FE" w:rsidRDefault="001339FE">
      <w:pPr>
        <w:spacing w:line="240" w:lineRule="auto"/>
      </w:pPr>
      <w:r>
        <w:separator/>
      </w:r>
    </w:p>
  </w:footnote>
  <w:footnote w:type="continuationSeparator" w:id="0">
    <w:p w14:paraId="181A5EC5" w14:textId="77777777" w:rsidR="001339FE" w:rsidRDefault="001339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CE1B0" w14:textId="3387EF39" w:rsidR="00E208C7" w:rsidRDefault="00E208C7" w:rsidP="00E208C7">
    <w:r>
      <w:t xml:space="preserve">   </w:t>
    </w:r>
  </w:p>
  <w:p w14:paraId="005C14DC" w14:textId="77777777" w:rsidR="00E208C7" w:rsidRDefault="00E208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4825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E47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A7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D67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45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26B5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CEA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ED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01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18CBFD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4DA5B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12D7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DA7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41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581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78E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843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48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DDE617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B28F64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9E13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2DAD0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D62E9E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F043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1D845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1786F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89495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BB6CC7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4E86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864045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0F610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904EF8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D56570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EE294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2679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A50C5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40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8271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07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50F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341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0F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144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2B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8E3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356CD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C2AE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86A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2694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8A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5E1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05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2B5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81F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736C7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0E8C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6E8D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3AA71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2475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12D6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ECEB0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A63C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285B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86AB5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E3C0B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8E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A5C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68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0C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4F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01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1C56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F08162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59CE34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D1C21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505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CC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442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466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24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86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5F8D9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BA9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44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A6F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E5C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5650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A0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EA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6E8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B54B43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C9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85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B86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62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2AA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58C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48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0F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E5641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95E3E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BDC7A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DDA4C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46CDC8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86CF0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23A784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75CD2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CB493C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9B0E6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D6409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A7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2B4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742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4E6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C8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2AC1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FEE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286049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BC49056" w:tentative="1">
      <w:start w:val="1"/>
      <w:numFmt w:val="lowerLetter"/>
      <w:lvlText w:val="%2."/>
      <w:lvlJc w:val="left"/>
      <w:pPr>
        <w:ind w:left="1440" w:hanging="360"/>
      </w:pPr>
    </w:lvl>
    <w:lvl w:ilvl="2" w:tplc="9602357E" w:tentative="1">
      <w:start w:val="1"/>
      <w:numFmt w:val="lowerRoman"/>
      <w:lvlText w:val="%3."/>
      <w:lvlJc w:val="right"/>
      <w:pPr>
        <w:ind w:left="2160" w:hanging="180"/>
      </w:pPr>
    </w:lvl>
    <w:lvl w:ilvl="3" w:tplc="A87E7720" w:tentative="1">
      <w:start w:val="1"/>
      <w:numFmt w:val="decimal"/>
      <w:lvlText w:val="%4."/>
      <w:lvlJc w:val="left"/>
      <w:pPr>
        <w:ind w:left="2880" w:hanging="360"/>
      </w:pPr>
    </w:lvl>
    <w:lvl w:ilvl="4" w:tplc="824ADDD8" w:tentative="1">
      <w:start w:val="1"/>
      <w:numFmt w:val="lowerLetter"/>
      <w:lvlText w:val="%5."/>
      <w:lvlJc w:val="left"/>
      <w:pPr>
        <w:ind w:left="3600" w:hanging="360"/>
      </w:pPr>
    </w:lvl>
    <w:lvl w:ilvl="5" w:tplc="2BF017C6" w:tentative="1">
      <w:start w:val="1"/>
      <w:numFmt w:val="lowerRoman"/>
      <w:lvlText w:val="%6."/>
      <w:lvlJc w:val="right"/>
      <w:pPr>
        <w:ind w:left="4320" w:hanging="180"/>
      </w:pPr>
    </w:lvl>
    <w:lvl w:ilvl="6" w:tplc="7CC2A9EC" w:tentative="1">
      <w:start w:val="1"/>
      <w:numFmt w:val="decimal"/>
      <w:lvlText w:val="%7."/>
      <w:lvlJc w:val="left"/>
      <w:pPr>
        <w:ind w:left="5040" w:hanging="360"/>
      </w:pPr>
    </w:lvl>
    <w:lvl w:ilvl="7" w:tplc="3BE64942" w:tentative="1">
      <w:start w:val="1"/>
      <w:numFmt w:val="lowerLetter"/>
      <w:lvlText w:val="%8."/>
      <w:lvlJc w:val="left"/>
      <w:pPr>
        <w:ind w:left="5760" w:hanging="360"/>
      </w:pPr>
    </w:lvl>
    <w:lvl w:ilvl="8" w:tplc="C88E7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310447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C687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944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F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446A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9E9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803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4E4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180D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0BC6F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AF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56E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04A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E6E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146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6A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02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968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E460D7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6FE75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0C8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A2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64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007F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8F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A6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809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CEEE1D0">
      <w:start w:val="1"/>
      <w:numFmt w:val="decimal"/>
      <w:lvlText w:val="%1."/>
      <w:lvlJc w:val="left"/>
      <w:pPr>
        <w:ind w:left="720" w:hanging="360"/>
      </w:pPr>
    </w:lvl>
    <w:lvl w:ilvl="1" w:tplc="93B29442" w:tentative="1">
      <w:start w:val="1"/>
      <w:numFmt w:val="lowerLetter"/>
      <w:lvlText w:val="%2."/>
      <w:lvlJc w:val="left"/>
      <w:pPr>
        <w:ind w:left="1440" w:hanging="360"/>
      </w:pPr>
    </w:lvl>
    <w:lvl w:ilvl="2" w:tplc="2CE81AC4" w:tentative="1">
      <w:start w:val="1"/>
      <w:numFmt w:val="lowerRoman"/>
      <w:lvlText w:val="%3."/>
      <w:lvlJc w:val="right"/>
      <w:pPr>
        <w:ind w:left="2160" w:hanging="180"/>
      </w:pPr>
    </w:lvl>
    <w:lvl w:ilvl="3" w:tplc="11065766" w:tentative="1">
      <w:start w:val="1"/>
      <w:numFmt w:val="decimal"/>
      <w:lvlText w:val="%4."/>
      <w:lvlJc w:val="left"/>
      <w:pPr>
        <w:ind w:left="2880" w:hanging="360"/>
      </w:pPr>
    </w:lvl>
    <w:lvl w:ilvl="4" w:tplc="42FABF8C" w:tentative="1">
      <w:start w:val="1"/>
      <w:numFmt w:val="lowerLetter"/>
      <w:lvlText w:val="%5."/>
      <w:lvlJc w:val="left"/>
      <w:pPr>
        <w:ind w:left="3600" w:hanging="360"/>
      </w:pPr>
    </w:lvl>
    <w:lvl w:ilvl="5" w:tplc="D5CEC60E" w:tentative="1">
      <w:start w:val="1"/>
      <w:numFmt w:val="lowerRoman"/>
      <w:lvlText w:val="%6."/>
      <w:lvlJc w:val="right"/>
      <w:pPr>
        <w:ind w:left="4320" w:hanging="180"/>
      </w:pPr>
    </w:lvl>
    <w:lvl w:ilvl="6" w:tplc="89ACFFC4" w:tentative="1">
      <w:start w:val="1"/>
      <w:numFmt w:val="decimal"/>
      <w:lvlText w:val="%7."/>
      <w:lvlJc w:val="left"/>
      <w:pPr>
        <w:ind w:left="5040" w:hanging="360"/>
      </w:pPr>
    </w:lvl>
    <w:lvl w:ilvl="7" w:tplc="95E2A35C" w:tentative="1">
      <w:start w:val="1"/>
      <w:numFmt w:val="lowerLetter"/>
      <w:lvlText w:val="%8."/>
      <w:lvlJc w:val="left"/>
      <w:pPr>
        <w:ind w:left="5760" w:hanging="360"/>
      </w:pPr>
    </w:lvl>
    <w:lvl w:ilvl="8" w:tplc="A2EE2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6D886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0441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3C1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45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0EB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B4A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B49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2AE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B85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0AEC"/>
    <w:rsid w:val="0008169A"/>
    <w:rsid w:val="00082200"/>
    <w:rsid w:val="000838BB"/>
    <w:rsid w:val="000860CE"/>
    <w:rsid w:val="00086278"/>
    <w:rsid w:val="00092A37"/>
    <w:rsid w:val="00092EDC"/>
    <w:rsid w:val="000938A6"/>
    <w:rsid w:val="0009531C"/>
    <w:rsid w:val="00096E78"/>
    <w:rsid w:val="00097C1E"/>
    <w:rsid w:val="000A1DF5"/>
    <w:rsid w:val="000A707B"/>
    <w:rsid w:val="000A7E4D"/>
    <w:rsid w:val="000B7873"/>
    <w:rsid w:val="000C0265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1E6B"/>
    <w:rsid w:val="000F32D8"/>
    <w:rsid w:val="000F38DA"/>
    <w:rsid w:val="000F5822"/>
    <w:rsid w:val="000F796B"/>
    <w:rsid w:val="0010031E"/>
    <w:rsid w:val="001012EB"/>
    <w:rsid w:val="00104709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39FE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0441"/>
    <w:rsid w:val="001C5288"/>
    <w:rsid w:val="001C5B03"/>
    <w:rsid w:val="001D4CE4"/>
    <w:rsid w:val="001D6052"/>
    <w:rsid w:val="001D674E"/>
    <w:rsid w:val="001D6D96"/>
    <w:rsid w:val="001E5621"/>
    <w:rsid w:val="001F1C7E"/>
    <w:rsid w:val="001F3239"/>
    <w:rsid w:val="001F3EF9"/>
    <w:rsid w:val="001F627D"/>
    <w:rsid w:val="001F6622"/>
    <w:rsid w:val="001F6F38"/>
    <w:rsid w:val="001F6FC1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26869"/>
    <w:rsid w:val="002310BC"/>
    <w:rsid w:val="0023163F"/>
    <w:rsid w:val="0023676E"/>
    <w:rsid w:val="00240F01"/>
    <w:rsid w:val="002414B6"/>
    <w:rsid w:val="002422EB"/>
    <w:rsid w:val="00242397"/>
    <w:rsid w:val="002446DC"/>
    <w:rsid w:val="00247A48"/>
    <w:rsid w:val="00250DD1"/>
    <w:rsid w:val="00251183"/>
    <w:rsid w:val="00251689"/>
    <w:rsid w:val="00252293"/>
    <w:rsid w:val="0025267C"/>
    <w:rsid w:val="00253B6B"/>
    <w:rsid w:val="00253BA9"/>
    <w:rsid w:val="00256A03"/>
    <w:rsid w:val="0025748D"/>
    <w:rsid w:val="00257F60"/>
    <w:rsid w:val="00265656"/>
    <w:rsid w:val="00265E77"/>
    <w:rsid w:val="00266155"/>
    <w:rsid w:val="0027270B"/>
    <w:rsid w:val="00272952"/>
    <w:rsid w:val="00272B36"/>
    <w:rsid w:val="00274D17"/>
    <w:rsid w:val="002806DD"/>
    <w:rsid w:val="00282E7B"/>
    <w:rsid w:val="002838C8"/>
    <w:rsid w:val="0029024F"/>
    <w:rsid w:val="00290805"/>
    <w:rsid w:val="00290A1B"/>
    <w:rsid w:val="00290C2A"/>
    <w:rsid w:val="002931DD"/>
    <w:rsid w:val="00295140"/>
    <w:rsid w:val="002978EF"/>
    <w:rsid w:val="002A0E7C"/>
    <w:rsid w:val="002A0EED"/>
    <w:rsid w:val="002A21ED"/>
    <w:rsid w:val="002A3F88"/>
    <w:rsid w:val="002A59BE"/>
    <w:rsid w:val="002A7001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B9D"/>
    <w:rsid w:val="002E6DF1"/>
    <w:rsid w:val="002E6ED9"/>
    <w:rsid w:val="002F0957"/>
    <w:rsid w:val="002F119B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C33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2590F"/>
    <w:rsid w:val="00330CC1"/>
    <w:rsid w:val="0033129D"/>
    <w:rsid w:val="003320ED"/>
    <w:rsid w:val="0033480E"/>
    <w:rsid w:val="00337123"/>
    <w:rsid w:val="00341866"/>
    <w:rsid w:val="00341E93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7D94"/>
    <w:rsid w:val="003D03CC"/>
    <w:rsid w:val="003D378C"/>
    <w:rsid w:val="003D3893"/>
    <w:rsid w:val="003D4BB7"/>
    <w:rsid w:val="003D7BCE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55E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3C9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C8D"/>
    <w:rsid w:val="004A005B"/>
    <w:rsid w:val="004A1BD5"/>
    <w:rsid w:val="004A61E1"/>
    <w:rsid w:val="004A62ED"/>
    <w:rsid w:val="004B1A75"/>
    <w:rsid w:val="004B2344"/>
    <w:rsid w:val="004B5797"/>
    <w:rsid w:val="004B5DDC"/>
    <w:rsid w:val="004B6E31"/>
    <w:rsid w:val="004B798E"/>
    <w:rsid w:val="004C0568"/>
    <w:rsid w:val="004C2ABD"/>
    <w:rsid w:val="004C5F62"/>
    <w:rsid w:val="004C682B"/>
    <w:rsid w:val="004D2601"/>
    <w:rsid w:val="004D3E58"/>
    <w:rsid w:val="004D6746"/>
    <w:rsid w:val="004D767B"/>
    <w:rsid w:val="004E0F32"/>
    <w:rsid w:val="004E23A1"/>
    <w:rsid w:val="004E3904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49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A97"/>
    <w:rsid w:val="00562DCA"/>
    <w:rsid w:val="0056568F"/>
    <w:rsid w:val="0057436C"/>
    <w:rsid w:val="00574496"/>
    <w:rsid w:val="00575DE3"/>
    <w:rsid w:val="00580B08"/>
    <w:rsid w:val="00582578"/>
    <w:rsid w:val="0058621D"/>
    <w:rsid w:val="00586904"/>
    <w:rsid w:val="00587340"/>
    <w:rsid w:val="005A0C1D"/>
    <w:rsid w:val="005A4CBE"/>
    <w:rsid w:val="005A783D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A38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599D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5CE"/>
    <w:rsid w:val="00667489"/>
    <w:rsid w:val="00667A57"/>
    <w:rsid w:val="00670D44"/>
    <w:rsid w:val="00673F4C"/>
    <w:rsid w:val="00675143"/>
    <w:rsid w:val="00676AFC"/>
    <w:rsid w:val="006807CD"/>
    <w:rsid w:val="00681AC2"/>
    <w:rsid w:val="00682D43"/>
    <w:rsid w:val="0068507D"/>
    <w:rsid w:val="00685BAF"/>
    <w:rsid w:val="00690463"/>
    <w:rsid w:val="00693DE5"/>
    <w:rsid w:val="006A0D03"/>
    <w:rsid w:val="006A15A8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457B"/>
    <w:rsid w:val="006D7C6E"/>
    <w:rsid w:val="006E15A2"/>
    <w:rsid w:val="006E2F95"/>
    <w:rsid w:val="006F1425"/>
    <w:rsid w:val="006F148B"/>
    <w:rsid w:val="006F3F9E"/>
    <w:rsid w:val="006F607A"/>
    <w:rsid w:val="00705EAF"/>
    <w:rsid w:val="0070773E"/>
    <w:rsid w:val="007101CC"/>
    <w:rsid w:val="00715C55"/>
    <w:rsid w:val="00724E3B"/>
    <w:rsid w:val="00725650"/>
    <w:rsid w:val="00725EEA"/>
    <w:rsid w:val="007276B6"/>
    <w:rsid w:val="00730908"/>
    <w:rsid w:val="00730CE9"/>
    <w:rsid w:val="00730EAE"/>
    <w:rsid w:val="0073373D"/>
    <w:rsid w:val="00736B1E"/>
    <w:rsid w:val="00741D11"/>
    <w:rsid w:val="007439DB"/>
    <w:rsid w:val="007447F5"/>
    <w:rsid w:val="007464DA"/>
    <w:rsid w:val="007551F2"/>
    <w:rsid w:val="007568D8"/>
    <w:rsid w:val="00761480"/>
    <w:rsid w:val="007616B4"/>
    <w:rsid w:val="00765316"/>
    <w:rsid w:val="007708C8"/>
    <w:rsid w:val="0077719D"/>
    <w:rsid w:val="00780DF0"/>
    <w:rsid w:val="007810B7"/>
    <w:rsid w:val="007823F1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66F9"/>
    <w:rsid w:val="007C796D"/>
    <w:rsid w:val="007D0A22"/>
    <w:rsid w:val="007D73FB"/>
    <w:rsid w:val="007D7608"/>
    <w:rsid w:val="007E2F2D"/>
    <w:rsid w:val="007F1433"/>
    <w:rsid w:val="007F1491"/>
    <w:rsid w:val="007F16DD"/>
    <w:rsid w:val="007F2F03"/>
    <w:rsid w:val="007F42CE"/>
    <w:rsid w:val="007F5DBE"/>
    <w:rsid w:val="007F67DA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3C3B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38DE"/>
    <w:rsid w:val="008D4C28"/>
    <w:rsid w:val="008D577B"/>
    <w:rsid w:val="008D7A98"/>
    <w:rsid w:val="008E17C4"/>
    <w:rsid w:val="008E45C4"/>
    <w:rsid w:val="008E64B1"/>
    <w:rsid w:val="008E64FA"/>
    <w:rsid w:val="008E68A9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2B3E"/>
    <w:rsid w:val="00964F03"/>
    <w:rsid w:val="00966F1F"/>
    <w:rsid w:val="00975676"/>
    <w:rsid w:val="00976467"/>
    <w:rsid w:val="00976D32"/>
    <w:rsid w:val="009844F7"/>
    <w:rsid w:val="00984E3F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153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039D"/>
    <w:rsid w:val="00A11755"/>
    <w:rsid w:val="00A16BAC"/>
    <w:rsid w:val="00A207FB"/>
    <w:rsid w:val="00A20ADC"/>
    <w:rsid w:val="00A24016"/>
    <w:rsid w:val="00A265BF"/>
    <w:rsid w:val="00A26F44"/>
    <w:rsid w:val="00A34FAB"/>
    <w:rsid w:val="00A42A50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E3E"/>
    <w:rsid w:val="00A82F8A"/>
    <w:rsid w:val="00A84622"/>
    <w:rsid w:val="00A846DF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33BC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4EA1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6DCC"/>
    <w:rsid w:val="00B60AC9"/>
    <w:rsid w:val="00B660D6"/>
    <w:rsid w:val="00B67323"/>
    <w:rsid w:val="00B6783C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1DB3"/>
    <w:rsid w:val="00BC2E39"/>
    <w:rsid w:val="00BC713C"/>
    <w:rsid w:val="00BD2364"/>
    <w:rsid w:val="00BD28E3"/>
    <w:rsid w:val="00BD5DD3"/>
    <w:rsid w:val="00BE117E"/>
    <w:rsid w:val="00BE3261"/>
    <w:rsid w:val="00BF00EF"/>
    <w:rsid w:val="00BF3A39"/>
    <w:rsid w:val="00BF58FC"/>
    <w:rsid w:val="00BF7936"/>
    <w:rsid w:val="00C01F77"/>
    <w:rsid w:val="00C01FFC"/>
    <w:rsid w:val="00C023C8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590"/>
    <w:rsid w:val="00C237E9"/>
    <w:rsid w:val="00C32989"/>
    <w:rsid w:val="00C32BD1"/>
    <w:rsid w:val="00C341E6"/>
    <w:rsid w:val="00C34260"/>
    <w:rsid w:val="00C36883"/>
    <w:rsid w:val="00C40928"/>
    <w:rsid w:val="00C40CFF"/>
    <w:rsid w:val="00C42226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5DC5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352E"/>
    <w:rsid w:val="00CA3C9D"/>
    <w:rsid w:val="00CC1E65"/>
    <w:rsid w:val="00CC567A"/>
    <w:rsid w:val="00CD4059"/>
    <w:rsid w:val="00CD4E5A"/>
    <w:rsid w:val="00CD6AFD"/>
    <w:rsid w:val="00CE03CE"/>
    <w:rsid w:val="00CE0F5D"/>
    <w:rsid w:val="00CE1A6A"/>
    <w:rsid w:val="00CE5D52"/>
    <w:rsid w:val="00CF0216"/>
    <w:rsid w:val="00CF069C"/>
    <w:rsid w:val="00CF0DFF"/>
    <w:rsid w:val="00D028A9"/>
    <w:rsid w:val="00D0359D"/>
    <w:rsid w:val="00D04DED"/>
    <w:rsid w:val="00D1089A"/>
    <w:rsid w:val="00D116BD"/>
    <w:rsid w:val="00D13423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6815"/>
    <w:rsid w:val="00D606B2"/>
    <w:rsid w:val="00D60929"/>
    <w:rsid w:val="00D625A7"/>
    <w:rsid w:val="00D63575"/>
    <w:rsid w:val="00D64074"/>
    <w:rsid w:val="00D65777"/>
    <w:rsid w:val="00D728A0"/>
    <w:rsid w:val="00D74018"/>
    <w:rsid w:val="00D83661"/>
    <w:rsid w:val="00D86155"/>
    <w:rsid w:val="00D9216A"/>
    <w:rsid w:val="00D939D6"/>
    <w:rsid w:val="00D95BBB"/>
    <w:rsid w:val="00D97E7D"/>
    <w:rsid w:val="00DA16B5"/>
    <w:rsid w:val="00DA2A06"/>
    <w:rsid w:val="00DA3BA9"/>
    <w:rsid w:val="00DB1C8C"/>
    <w:rsid w:val="00DB3439"/>
    <w:rsid w:val="00DB3618"/>
    <w:rsid w:val="00DB468A"/>
    <w:rsid w:val="00DC2946"/>
    <w:rsid w:val="00DC2CA1"/>
    <w:rsid w:val="00DC4340"/>
    <w:rsid w:val="00DC492D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0CFF"/>
    <w:rsid w:val="00E026E8"/>
    <w:rsid w:val="00E060F7"/>
    <w:rsid w:val="00E117F9"/>
    <w:rsid w:val="00E124D3"/>
    <w:rsid w:val="00E1267F"/>
    <w:rsid w:val="00E14C47"/>
    <w:rsid w:val="00E208C7"/>
    <w:rsid w:val="00E22698"/>
    <w:rsid w:val="00E25B7C"/>
    <w:rsid w:val="00E3076B"/>
    <w:rsid w:val="00E33224"/>
    <w:rsid w:val="00E3725B"/>
    <w:rsid w:val="00E434D1"/>
    <w:rsid w:val="00E5429B"/>
    <w:rsid w:val="00E56CBB"/>
    <w:rsid w:val="00E579A6"/>
    <w:rsid w:val="00E61950"/>
    <w:rsid w:val="00E61E51"/>
    <w:rsid w:val="00E650E2"/>
    <w:rsid w:val="00E6552A"/>
    <w:rsid w:val="00E65731"/>
    <w:rsid w:val="00E65A53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5B0C"/>
    <w:rsid w:val="00EC1204"/>
    <w:rsid w:val="00EC27E1"/>
    <w:rsid w:val="00EC3E4B"/>
    <w:rsid w:val="00EC47C4"/>
    <w:rsid w:val="00EC4F3A"/>
    <w:rsid w:val="00EC5045"/>
    <w:rsid w:val="00EC5E74"/>
    <w:rsid w:val="00ED594D"/>
    <w:rsid w:val="00EE07D1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5EAD"/>
    <w:rsid w:val="00F12214"/>
    <w:rsid w:val="00F12565"/>
    <w:rsid w:val="00F129C7"/>
    <w:rsid w:val="00F144BE"/>
    <w:rsid w:val="00F14ACA"/>
    <w:rsid w:val="00F14BF5"/>
    <w:rsid w:val="00F170D9"/>
    <w:rsid w:val="00F17A0C"/>
    <w:rsid w:val="00F23927"/>
    <w:rsid w:val="00F26644"/>
    <w:rsid w:val="00F26A05"/>
    <w:rsid w:val="00F270DD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17F"/>
    <w:rsid w:val="00F66F00"/>
    <w:rsid w:val="00F67A2D"/>
    <w:rsid w:val="00F70A1B"/>
    <w:rsid w:val="00F72FDF"/>
    <w:rsid w:val="00F75960"/>
    <w:rsid w:val="00F801AF"/>
    <w:rsid w:val="00F82526"/>
    <w:rsid w:val="00F837E9"/>
    <w:rsid w:val="00F84672"/>
    <w:rsid w:val="00F84802"/>
    <w:rsid w:val="00F84AED"/>
    <w:rsid w:val="00F94330"/>
    <w:rsid w:val="00F95A8C"/>
    <w:rsid w:val="00F9649E"/>
    <w:rsid w:val="00FA06FD"/>
    <w:rsid w:val="00FA13C6"/>
    <w:rsid w:val="00FA515B"/>
    <w:rsid w:val="00FA6B90"/>
    <w:rsid w:val="00FA70F9"/>
    <w:rsid w:val="00FA74CB"/>
    <w:rsid w:val="00FB207A"/>
    <w:rsid w:val="00FB2886"/>
    <w:rsid w:val="00FB36C1"/>
    <w:rsid w:val="00FB466E"/>
    <w:rsid w:val="00FB6F2F"/>
    <w:rsid w:val="00FC02F3"/>
    <w:rsid w:val="00FC3BC5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8F736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A7E4D"/>
    <w:rPr>
      <w:b/>
      <w:sz w:val="22"/>
      <w:lang w:eastAsia="en-US"/>
    </w:rPr>
  </w:style>
  <w:style w:type="character" w:styleId="Nevyeenzmnka">
    <w:name w:val="Unresolved Mention"/>
    <w:basedOn w:val="Standardnpsmoodstavce"/>
    <w:rsid w:val="00DC2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8A789-5A52-4585-A842-CB66095C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1819</Words>
  <Characters>10735</Characters>
  <Application>Microsoft Office Word</Application>
  <DocSecurity>0</DocSecurity>
  <Lines>89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26</cp:revision>
  <cp:lastPrinted>2026-05-21T13:19:00Z</cp:lastPrinted>
  <dcterms:created xsi:type="dcterms:W3CDTF">2026-01-09T11:08:00Z</dcterms:created>
  <dcterms:modified xsi:type="dcterms:W3CDTF">2026-05-21T13:19:00Z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