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28415" w14:textId="0A2957DA" w:rsidR="00FF6474" w:rsidRPr="008A558B" w:rsidRDefault="00FF6474" w:rsidP="008A558B">
      <w:pPr>
        <w:spacing w:after="0" w:line="240" w:lineRule="auto"/>
        <w:ind w:left="197" w:firstLine="0"/>
        <w:jc w:val="center"/>
        <w:rPr>
          <w:szCs w:val="22"/>
          <w:lang w:val="cs-CZ"/>
        </w:rPr>
      </w:pPr>
    </w:p>
    <w:p w14:paraId="0491DA39" w14:textId="77777777" w:rsidR="00FF6474" w:rsidRPr="008A558B" w:rsidRDefault="00A711ED" w:rsidP="008A558B">
      <w:pPr>
        <w:spacing w:after="0" w:line="240" w:lineRule="auto"/>
        <w:ind w:left="0" w:firstLine="0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6A6D5FD9" w14:textId="77777777" w:rsidR="00FF6474" w:rsidRPr="008A558B" w:rsidRDefault="00A711ED" w:rsidP="008A558B">
      <w:pPr>
        <w:spacing w:after="0" w:line="240" w:lineRule="auto"/>
        <w:ind w:left="0" w:firstLine="0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0102E8F1" w14:textId="77777777" w:rsidR="00FF6474" w:rsidRPr="008A558B" w:rsidRDefault="00A711ED" w:rsidP="008A558B">
      <w:pPr>
        <w:spacing w:after="0" w:line="240" w:lineRule="auto"/>
        <w:ind w:left="0" w:firstLine="0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67AF289C" w14:textId="77777777" w:rsidR="00FF6474" w:rsidRPr="008A558B" w:rsidRDefault="00A711ED" w:rsidP="008A558B">
      <w:pPr>
        <w:spacing w:after="0" w:line="240" w:lineRule="auto"/>
        <w:ind w:left="0" w:firstLine="0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45B5D851" w14:textId="77777777" w:rsidR="00FF6474" w:rsidRPr="008A558B" w:rsidRDefault="00A711ED" w:rsidP="008A558B">
      <w:pPr>
        <w:spacing w:after="0" w:line="240" w:lineRule="auto"/>
        <w:ind w:left="0" w:firstLine="0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6C387317" w14:textId="77777777" w:rsidR="00FF6474" w:rsidRPr="008A558B" w:rsidRDefault="00A711ED" w:rsidP="008A558B">
      <w:pPr>
        <w:spacing w:after="0" w:line="240" w:lineRule="auto"/>
        <w:ind w:left="0" w:firstLine="0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4CA42720" w14:textId="77777777" w:rsidR="00FF6474" w:rsidRPr="008A558B" w:rsidRDefault="00A711ED" w:rsidP="008A558B">
      <w:pPr>
        <w:spacing w:after="0" w:line="240" w:lineRule="auto"/>
        <w:ind w:left="0" w:firstLine="0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507DD482" w14:textId="77777777" w:rsidR="00FF6474" w:rsidRPr="008A558B" w:rsidRDefault="00A711ED" w:rsidP="008A558B">
      <w:pPr>
        <w:spacing w:after="0" w:line="240" w:lineRule="auto"/>
        <w:ind w:left="0" w:firstLine="0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064E6FEC" w14:textId="77777777" w:rsidR="00FF6474" w:rsidRPr="008A558B" w:rsidRDefault="00A711ED" w:rsidP="008A558B">
      <w:pPr>
        <w:spacing w:after="0" w:line="240" w:lineRule="auto"/>
        <w:ind w:left="0" w:firstLine="0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0A286B68" w14:textId="77777777" w:rsidR="00FF6474" w:rsidRPr="008A558B" w:rsidRDefault="00A711ED" w:rsidP="008A558B">
      <w:pPr>
        <w:spacing w:after="0" w:line="240" w:lineRule="auto"/>
        <w:ind w:left="0" w:firstLine="0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4BAD30E0" w14:textId="77777777" w:rsidR="00FF6474" w:rsidRPr="008A558B" w:rsidRDefault="00A711ED" w:rsidP="008A558B">
      <w:pPr>
        <w:spacing w:after="0" w:line="240" w:lineRule="auto"/>
        <w:ind w:left="0" w:firstLine="0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4E38CEC6" w14:textId="77777777" w:rsidR="00FF6474" w:rsidRPr="008A558B" w:rsidRDefault="00A711ED" w:rsidP="008A558B">
      <w:pPr>
        <w:spacing w:after="0" w:line="240" w:lineRule="auto"/>
        <w:ind w:left="0" w:firstLine="0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7461741E" w14:textId="77777777" w:rsidR="00FF6474" w:rsidRPr="008A558B" w:rsidRDefault="00A711ED" w:rsidP="008A558B">
      <w:pPr>
        <w:spacing w:after="0" w:line="240" w:lineRule="auto"/>
        <w:ind w:left="0" w:firstLine="0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59B09C35" w14:textId="77777777" w:rsidR="00FF6474" w:rsidRPr="008A558B" w:rsidRDefault="00A711ED" w:rsidP="008A558B">
      <w:pPr>
        <w:spacing w:after="0" w:line="240" w:lineRule="auto"/>
        <w:ind w:left="0" w:firstLine="0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67657A17" w14:textId="77777777" w:rsidR="00FF6474" w:rsidRPr="008A558B" w:rsidRDefault="00A711ED" w:rsidP="008A558B">
      <w:pPr>
        <w:spacing w:after="0" w:line="240" w:lineRule="auto"/>
        <w:ind w:left="0" w:firstLine="0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3B09A038" w14:textId="77777777" w:rsidR="00FF6474" w:rsidRPr="008A558B" w:rsidRDefault="00A711ED" w:rsidP="008A558B">
      <w:pPr>
        <w:spacing w:after="0" w:line="240" w:lineRule="auto"/>
        <w:ind w:left="0" w:firstLine="0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7B545257" w14:textId="77777777" w:rsidR="00FF6474" w:rsidRPr="008A558B" w:rsidRDefault="00A711ED" w:rsidP="008A558B">
      <w:pPr>
        <w:spacing w:after="0" w:line="240" w:lineRule="auto"/>
        <w:ind w:left="0" w:firstLine="0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6CE7D72D" w14:textId="77777777" w:rsidR="00FF6474" w:rsidRPr="008A558B" w:rsidRDefault="00A711ED" w:rsidP="008A558B">
      <w:pPr>
        <w:spacing w:after="0" w:line="240" w:lineRule="auto"/>
        <w:ind w:left="0" w:firstLine="0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1536D80E" w14:textId="77777777" w:rsidR="00FF6474" w:rsidRPr="008A558B" w:rsidRDefault="00A711ED" w:rsidP="008A558B">
      <w:pPr>
        <w:spacing w:after="0" w:line="240" w:lineRule="auto"/>
        <w:ind w:left="0" w:firstLine="0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740B4A8E" w14:textId="77777777" w:rsidR="00FF6474" w:rsidRPr="008A558B" w:rsidRDefault="00A711ED" w:rsidP="008A558B">
      <w:pPr>
        <w:spacing w:after="0" w:line="240" w:lineRule="auto"/>
        <w:ind w:left="0" w:firstLine="0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70380FA3" w14:textId="77777777" w:rsidR="00FF6474" w:rsidRPr="008A558B" w:rsidRDefault="00A711ED" w:rsidP="008A558B">
      <w:pPr>
        <w:spacing w:after="0" w:line="240" w:lineRule="auto"/>
        <w:ind w:left="0" w:firstLine="0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31BCC957" w14:textId="77777777" w:rsidR="00FF6474" w:rsidRPr="008A558B" w:rsidRDefault="00A711ED" w:rsidP="008A558B">
      <w:pPr>
        <w:spacing w:after="0" w:line="240" w:lineRule="auto"/>
        <w:ind w:left="0" w:firstLine="0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3284E274" w14:textId="77777777" w:rsidR="00FF6474" w:rsidRPr="008A558B" w:rsidRDefault="00A711ED" w:rsidP="008A558B">
      <w:pPr>
        <w:spacing w:after="0" w:line="240" w:lineRule="auto"/>
        <w:ind w:left="0" w:firstLine="0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2EF0396F" w14:textId="77777777" w:rsidR="00FF6474" w:rsidRPr="008A558B" w:rsidRDefault="00A711ED" w:rsidP="008A558B">
      <w:pPr>
        <w:spacing w:after="0" w:line="240" w:lineRule="auto"/>
        <w:ind w:right="3028"/>
        <w:jc w:val="right"/>
        <w:rPr>
          <w:szCs w:val="22"/>
          <w:lang w:val="cs-CZ"/>
        </w:rPr>
      </w:pPr>
      <w:r w:rsidRPr="008A558B">
        <w:rPr>
          <w:b/>
          <w:szCs w:val="22"/>
          <w:lang w:val="cs-CZ"/>
        </w:rPr>
        <w:t>B.</w:t>
      </w:r>
      <w:r w:rsidRPr="008A558B">
        <w:rPr>
          <w:rFonts w:eastAsia="Arial"/>
          <w:b/>
          <w:szCs w:val="22"/>
          <w:lang w:val="cs-CZ"/>
        </w:rPr>
        <w:t xml:space="preserve"> </w:t>
      </w:r>
      <w:r w:rsidRPr="008A558B">
        <w:rPr>
          <w:b/>
          <w:szCs w:val="22"/>
          <w:lang w:val="cs-CZ"/>
        </w:rPr>
        <w:t xml:space="preserve">PŘÍBALOVÁ INFORMACE </w:t>
      </w:r>
      <w:r w:rsidRPr="008A558B">
        <w:rPr>
          <w:szCs w:val="22"/>
          <w:lang w:val="cs-CZ"/>
        </w:rPr>
        <w:br w:type="page"/>
      </w:r>
    </w:p>
    <w:p w14:paraId="50D82121" w14:textId="77777777" w:rsidR="00FF6474" w:rsidRPr="008A558B" w:rsidRDefault="00A711ED" w:rsidP="004314F9">
      <w:pPr>
        <w:pStyle w:val="Nadpis2"/>
        <w:spacing w:after="0" w:line="240" w:lineRule="auto"/>
        <w:ind w:left="10" w:right="2"/>
        <w:jc w:val="center"/>
        <w:rPr>
          <w:szCs w:val="22"/>
          <w:lang w:val="cs-CZ"/>
        </w:rPr>
      </w:pPr>
      <w:r w:rsidRPr="008A558B">
        <w:rPr>
          <w:szCs w:val="22"/>
          <w:lang w:val="cs-CZ"/>
        </w:rPr>
        <w:lastRenderedPageBreak/>
        <w:t>PŘÍBALOVÁ INFORMACE</w:t>
      </w:r>
      <w:r w:rsidRPr="008A558B">
        <w:rPr>
          <w:b w:val="0"/>
          <w:szCs w:val="22"/>
          <w:lang w:val="cs-CZ"/>
        </w:rPr>
        <w:t xml:space="preserve"> </w:t>
      </w:r>
    </w:p>
    <w:p w14:paraId="0E7BC59C" w14:textId="77777777" w:rsidR="00FF6474" w:rsidRPr="008A558B" w:rsidRDefault="00A711ED" w:rsidP="004314F9">
      <w:pPr>
        <w:spacing w:after="0" w:line="240" w:lineRule="auto"/>
        <w:ind w:left="0" w:right="2" w:firstLine="0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3D58A440" w14:textId="77777777" w:rsidR="00FF6474" w:rsidRPr="008A558B" w:rsidRDefault="00A711ED" w:rsidP="004314F9">
      <w:pPr>
        <w:spacing w:after="0" w:line="240" w:lineRule="auto"/>
        <w:ind w:left="0" w:right="2" w:firstLine="0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0CA1F608" w14:textId="26271A9D" w:rsidR="00FF6474" w:rsidRPr="008A558B" w:rsidRDefault="008E0299" w:rsidP="004314F9">
      <w:pPr>
        <w:spacing w:after="0" w:line="240" w:lineRule="auto"/>
        <w:ind w:left="566" w:right="2" w:hanging="566"/>
        <w:rPr>
          <w:szCs w:val="22"/>
          <w:lang w:val="cs-CZ"/>
        </w:rPr>
      </w:pPr>
      <w:r w:rsidRPr="00421879">
        <w:rPr>
          <w:b/>
          <w:szCs w:val="22"/>
          <w:highlight w:val="lightGray"/>
          <w:lang w:val="cs-CZ"/>
        </w:rPr>
        <w:t>1.</w:t>
      </w:r>
      <w:r>
        <w:rPr>
          <w:b/>
          <w:szCs w:val="22"/>
          <w:lang w:val="cs-CZ"/>
        </w:rPr>
        <w:tab/>
      </w:r>
      <w:r w:rsidR="00A711ED" w:rsidRPr="008A558B">
        <w:rPr>
          <w:b/>
          <w:szCs w:val="22"/>
          <w:lang w:val="cs-CZ"/>
        </w:rPr>
        <w:t xml:space="preserve">Název veterinárního léčivého přípravku </w:t>
      </w:r>
    </w:p>
    <w:p w14:paraId="3C684F06" w14:textId="77777777" w:rsidR="00FF6474" w:rsidRPr="008A558B" w:rsidRDefault="00A711ED" w:rsidP="004314F9">
      <w:pPr>
        <w:spacing w:after="0" w:line="240" w:lineRule="auto"/>
        <w:ind w:left="0" w:right="2" w:firstLine="0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6C01DC64" w14:textId="77777777" w:rsidR="004827C8" w:rsidRPr="008A558B" w:rsidRDefault="004827C8" w:rsidP="004314F9">
      <w:pPr>
        <w:pStyle w:val="Zkladntext"/>
        <w:ind w:right="2"/>
        <w:rPr>
          <w:szCs w:val="22"/>
        </w:rPr>
      </w:pPr>
      <w:r w:rsidRPr="008A558B">
        <w:rPr>
          <w:szCs w:val="22"/>
        </w:rPr>
        <w:t>NORODINE 40/200 mg/ml injekční roztok</w:t>
      </w:r>
    </w:p>
    <w:p w14:paraId="00D0AF3D" w14:textId="77777777" w:rsidR="008E0299" w:rsidRPr="008A558B" w:rsidRDefault="008E0299" w:rsidP="004314F9">
      <w:pPr>
        <w:spacing w:after="0" w:line="240" w:lineRule="auto"/>
        <w:ind w:right="2"/>
        <w:rPr>
          <w:b/>
          <w:bCs/>
          <w:szCs w:val="22"/>
          <w:lang w:val="cs-CZ"/>
        </w:rPr>
      </w:pPr>
    </w:p>
    <w:p w14:paraId="7F6F0719" w14:textId="5445DFF7" w:rsidR="00FF6474" w:rsidRPr="008A558B" w:rsidRDefault="008E0299" w:rsidP="004314F9">
      <w:pPr>
        <w:tabs>
          <w:tab w:val="left" w:pos="567"/>
        </w:tabs>
        <w:spacing w:after="0" w:line="240" w:lineRule="auto"/>
        <w:ind w:right="2"/>
        <w:rPr>
          <w:szCs w:val="22"/>
          <w:lang w:val="cs-CZ"/>
        </w:rPr>
      </w:pPr>
      <w:r w:rsidRPr="00421879">
        <w:rPr>
          <w:b/>
          <w:szCs w:val="22"/>
          <w:highlight w:val="lightGray"/>
          <w:lang w:val="cs-CZ"/>
        </w:rPr>
        <w:t>2.</w:t>
      </w:r>
      <w:r>
        <w:rPr>
          <w:b/>
          <w:szCs w:val="22"/>
          <w:lang w:val="cs-CZ"/>
        </w:rPr>
        <w:tab/>
      </w:r>
      <w:r w:rsidR="00A711ED" w:rsidRPr="008A558B">
        <w:rPr>
          <w:b/>
          <w:szCs w:val="22"/>
          <w:lang w:val="cs-CZ"/>
        </w:rPr>
        <w:t xml:space="preserve">Složení </w:t>
      </w:r>
    </w:p>
    <w:p w14:paraId="61705872" w14:textId="77777777" w:rsidR="00FF6474" w:rsidRPr="008A558B" w:rsidRDefault="00A711ED" w:rsidP="004314F9">
      <w:pPr>
        <w:spacing w:after="0" w:line="240" w:lineRule="auto"/>
        <w:ind w:left="0" w:right="2" w:firstLine="0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301E154A" w14:textId="2B879118" w:rsidR="004827C8" w:rsidRPr="008A558B" w:rsidRDefault="009D7A84" w:rsidP="004314F9">
      <w:pPr>
        <w:spacing w:after="0" w:line="240" w:lineRule="auto"/>
        <w:ind w:left="0" w:right="2" w:firstLine="0"/>
        <w:rPr>
          <w:b/>
          <w:bCs/>
          <w:szCs w:val="22"/>
          <w:lang w:val="cs-CZ"/>
        </w:rPr>
      </w:pPr>
      <w:r>
        <w:rPr>
          <w:bCs/>
          <w:szCs w:val="22"/>
          <w:lang w:val="cs-CZ"/>
        </w:rPr>
        <w:t xml:space="preserve">Každý </w:t>
      </w:r>
      <w:r w:rsidR="004827C8" w:rsidRPr="008A558B">
        <w:rPr>
          <w:bCs/>
          <w:szCs w:val="22"/>
          <w:lang w:val="cs-CZ"/>
        </w:rPr>
        <w:t>ml obsahuje:</w:t>
      </w:r>
    </w:p>
    <w:p w14:paraId="0D238B95" w14:textId="77777777" w:rsidR="004827C8" w:rsidRPr="008A558B" w:rsidRDefault="004827C8" w:rsidP="004314F9">
      <w:pPr>
        <w:spacing w:after="0" w:line="240" w:lineRule="auto"/>
        <w:ind w:right="2"/>
        <w:rPr>
          <w:bCs/>
          <w:szCs w:val="22"/>
          <w:lang w:val="cs-CZ"/>
        </w:rPr>
      </w:pPr>
    </w:p>
    <w:p w14:paraId="27AE827C" w14:textId="77777777" w:rsidR="004827C8" w:rsidRPr="008A558B" w:rsidRDefault="004827C8" w:rsidP="004314F9">
      <w:pPr>
        <w:spacing w:after="0" w:line="240" w:lineRule="auto"/>
        <w:ind w:right="2"/>
        <w:rPr>
          <w:b/>
          <w:szCs w:val="22"/>
          <w:lang w:val="cs-CZ"/>
        </w:rPr>
      </w:pPr>
      <w:r w:rsidRPr="008A558B">
        <w:rPr>
          <w:b/>
          <w:szCs w:val="22"/>
          <w:lang w:val="cs-CZ"/>
        </w:rPr>
        <w:t>Léčivé látky:</w:t>
      </w:r>
      <w:r w:rsidRPr="008A558B">
        <w:rPr>
          <w:b/>
          <w:szCs w:val="22"/>
          <w:u w:val="single"/>
          <w:lang w:val="cs-CZ"/>
        </w:rPr>
        <w:t xml:space="preserve"> </w:t>
      </w:r>
    </w:p>
    <w:p w14:paraId="6CD0A117" w14:textId="77777777" w:rsidR="004827C8" w:rsidRPr="008A558B" w:rsidRDefault="004827C8" w:rsidP="004314F9">
      <w:pPr>
        <w:spacing w:after="0" w:line="240" w:lineRule="auto"/>
        <w:ind w:right="2"/>
        <w:rPr>
          <w:b/>
          <w:bCs/>
          <w:szCs w:val="22"/>
          <w:lang w:val="cs-CZ"/>
        </w:rPr>
      </w:pPr>
      <w:proofErr w:type="spellStart"/>
      <w:r w:rsidRPr="008A558B">
        <w:rPr>
          <w:bCs/>
          <w:szCs w:val="22"/>
          <w:lang w:val="cs-CZ"/>
        </w:rPr>
        <w:t>Trimethoprimum</w:t>
      </w:r>
      <w:proofErr w:type="spellEnd"/>
      <w:r w:rsidRPr="008A558B">
        <w:rPr>
          <w:bCs/>
          <w:szCs w:val="22"/>
          <w:lang w:val="cs-CZ"/>
        </w:rPr>
        <w:t xml:space="preserve">             40 mg</w:t>
      </w:r>
    </w:p>
    <w:p w14:paraId="1AC0EB97" w14:textId="77777777" w:rsidR="004827C8" w:rsidRPr="008A558B" w:rsidRDefault="004827C8" w:rsidP="004314F9">
      <w:pPr>
        <w:spacing w:after="0" w:line="240" w:lineRule="auto"/>
        <w:ind w:right="2"/>
        <w:rPr>
          <w:b/>
          <w:bCs/>
          <w:szCs w:val="22"/>
          <w:lang w:val="cs-CZ"/>
        </w:rPr>
      </w:pPr>
      <w:proofErr w:type="spellStart"/>
      <w:r w:rsidRPr="008A558B">
        <w:rPr>
          <w:bCs/>
          <w:szCs w:val="22"/>
          <w:lang w:val="cs-CZ"/>
        </w:rPr>
        <w:t>Sulfadiazinum</w:t>
      </w:r>
      <w:proofErr w:type="spellEnd"/>
      <w:r w:rsidRPr="008A558B">
        <w:rPr>
          <w:bCs/>
          <w:szCs w:val="22"/>
          <w:lang w:val="cs-CZ"/>
        </w:rPr>
        <w:t xml:space="preserve">               200 mg </w:t>
      </w:r>
    </w:p>
    <w:p w14:paraId="761AB99F" w14:textId="77777777" w:rsidR="004827C8" w:rsidRPr="008A558B" w:rsidRDefault="004827C8" w:rsidP="004314F9">
      <w:pPr>
        <w:spacing w:after="0" w:line="240" w:lineRule="auto"/>
        <w:ind w:right="2"/>
        <w:rPr>
          <w:b/>
          <w:bCs/>
          <w:szCs w:val="22"/>
          <w:lang w:val="cs-CZ"/>
        </w:rPr>
      </w:pPr>
    </w:p>
    <w:p w14:paraId="7A500AAF" w14:textId="77777777" w:rsidR="004827C8" w:rsidRPr="008A558B" w:rsidRDefault="004827C8" w:rsidP="004314F9">
      <w:pPr>
        <w:pStyle w:val="Zkladntext"/>
        <w:ind w:right="2"/>
        <w:rPr>
          <w:b/>
          <w:szCs w:val="22"/>
        </w:rPr>
      </w:pPr>
      <w:r w:rsidRPr="008A558B">
        <w:rPr>
          <w:b/>
          <w:szCs w:val="22"/>
        </w:rPr>
        <w:t>Pomocné látky:</w:t>
      </w:r>
      <w:r w:rsidRPr="008A558B">
        <w:rPr>
          <w:b/>
          <w:bCs w:val="0"/>
          <w:szCs w:val="22"/>
        </w:rPr>
        <w:t xml:space="preserve"> </w:t>
      </w:r>
    </w:p>
    <w:p w14:paraId="6BB6DA93" w14:textId="77777777" w:rsidR="004827C8" w:rsidRPr="008A558B" w:rsidRDefault="004827C8" w:rsidP="004314F9">
      <w:pPr>
        <w:spacing w:after="0" w:line="240" w:lineRule="auto"/>
        <w:ind w:right="2"/>
        <w:rPr>
          <w:b/>
          <w:bCs/>
          <w:szCs w:val="22"/>
          <w:lang w:val="cs-CZ"/>
        </w:rPr>
      </w:pPr>
      <w:proofErr w:type="spellStart"/>
      <w:r w:rsidRPr="008A558B">
        <w:rPr>
          <w:szCs w:val="22"/>
          <w:lang w:val="cs-CZ"/>
        </w:rPr>
        <w:t>Chlorkresol</w:t>
      </w:r>
      <w:proofErr w:type="spellEnd"/>
      <w:r w:rsidRPr="008A558B">
        <w:rPr>
          <w:bCs/>
          <w:szCs w:val="22"/>
          <w:lang w:val="cs-CZ"/>
        </w:rPr>
        <w:tab/>
      </w:r>
      <w:r w:rsidRPr="008A558B">
        <w:rPr>
          <w:bCs/>
          <w:szCs w:val="22"/>
          <w:lang w:val="cs-CZ"/>
        </w:rPr>
        <w:tab/>
        <w:t xml:space="preserve"> </w:t>
      </w:r>
      <w:r w:rsidRPr="008A558B">
        <w:rPr>
          <w:bCs/>
          <w:szCs w:val="22"/>
          <w:lang w:val="cs-CZ"/>
        </w:rPr>
        <w:tab/>
      </w:r>
      <w:r w:rsidRPr="008A558B">
        <w:rPr>
          <w:bCs/>
          <w:szCs w:val="22"/>
          <w:lang w:val="cs-CZ"/>
        </w:rPr>
        <w:tab/>
        <w:t>1 mg</w:t>
      </w:r>
    </w:p>
    <w:p w14:paraId="60EC351B" w14:textId="2C96F363" w:rsidR="004827C8" w:rsidRPr="008A558B" w:rsidRDefault="004827C8" w:rsidP="004314F9">
      <w:pPr>
        <w:spacing w:after="0" w:line="240" w:lineRule="auto"/>
        <w:ind w:right="2"/>
        <w:rPr>
          <w:b/>
          <w:bCs/>
          <w:szCs w:val="22"/>
          <w:lang w:val="cs-CZ"/>
        </w:rPr>
      </w:pPr>
      <w:r w:rsidRPr="008A558B">
        <w:rPr>
          <w:bCs/>
          <w:szCs w:val="22"/>
          <w:lang w:val="cs-CZ"/>
        </w:rPr>
        <w:t>Natrium-</w:t>
      </w:r>
      <w:proofErr w:type="spellStart"/>
      <w:r w:rsidRPr="008A558B">
        <w:rPr>
          <w:bCs/>
          <w:szCs w:val="22"/>
          <w:lang w:val="cs-CZ"/>
        </w:rPr>
        <w:t>hydroxymethansulfinát</w:t>
      </w:r>
      <w:proofErr w:type="spellEnd"/>
      <w:r w:rsidRPr="008A558B">
        <w:rPr>
          <w:bCs/>
          <w:szCs w:val="22"/>
          <w:lang w:val="cs-CZ"/>
        </w:rPr>
        <w:tab/>
      </w:r>
      <w:r w:rsidR="00A16244" w:rsidRPr="008A558B">
        <w:rPr>
          <w:bCs/>
          <w:szCs w:val="22"/>
          <w:lang w:val="cs-CZ"/>
        </w:rPr>
        <w:tab/>
      </w:r>
      <w:r w:rsidRPr="008A558B">
        <w:rPr>
          <w:bCs/>
          <w:szCs w:val="22"/>
          <w:lang w:val="cs-CZ"/>
        </w:rPr>
        <w:t>1 mg</w:t>
      </w:r>
    </w:p>
    <w:p w14:paraId="60BE48D0" w14:textId="77777777" w:rsidR="004827C8" w:rsidRPr="008A558B" w:rsidRDefault="004827C8" w:rsidP="004314F9">
      <w:pPr>
        <w:spacing w:after="0" w:line="240" w:lineRule="auto"/>
        <w:ind w:right="2"/>
        <w:rPr>
          <w:b/>
          <w:bCs/>
          <w:szCs w:val="22"/>
          <w:lang w:val="cs-CZ"/>
        </w:rPr>
      </w:pPr>
      <w:proofErr w:type="spellStart"/>
      <w:r w:rsidRPr="008A558B">
        <w:rPr>
          <w:bCs/>
          <w:szCs w:val="22"/>
          <w:lang w:val="cs-CZ"/>
        </w:rPr>
        <w:t>Methylpyrrolidon</w:t>
      </w:r>
      <w:proofErr w:type="spellEnd"/>
      <w:r w:rsidRPr="008A558B">
        <w:rPr>
          <w:bCs/>
          <w:szCs w:val="22"/>
          <w:lang w:val="cs-CZ"/>
        </w:rPr>
        <w:t xml:space="preserve"> </w:t>
      </w:r>
      <w:r w:rsidRPr="008A558B">
        <w:rPr>
          <w:bCs/>
          <w:szCs w:val="22"/>
          <w:lang w:val="cs-CZ"/>
        </w:rPr>
        <w:tab/>
      </w:r>
      <w:r w:rsidRPr="008A558B">
        <w:rPr>
          <w:bCs/>
          <w:szCs w:val="22"/>
          <w:lang w:val="cs-CZ"/>
        </w:rPr>
        <w:tab/>
      </w:r>
      <w:r w:rsidRPr="008A558B">
        <w:rPr>
          <w:bCs/>
          <w:szCs w:val="22"/>
          <w:lang w:val="cs-CZ"/>
        </w:rPr>
        <w:tab/>
        <w:t>0,5 ml</w:t>
      </w:r>
    </w:p>
    <w:p w14:paraId="7EFC4500" w14:textId="77777777" w:rsidR="004827C8" w:rsidRPr="008A558B" w:rsidRDefault="004827C8" w:rsidP="004314F9">
      <w:pPr>
        <w:pStyle w:val="Zkladntext"/>
        <w:ind w:right="2"/>
        <w:rPr>
          <w:szCs w:val="22"/>
        </w:rPr>
      </w:pPr>
    </w:p>
    <w:p w14:paraId="493ADA7C" w14:textId="77777777" w:rsidR="00587780" w:rsidRPr="008A558B" w:rsidRDefault="00587780" w:rsidP="004314F9">
      <w:pPr>
        <w:pStyle w:val="Zkladntext"/>
        <w:ind w:right="2"/>
        <w:rPr>
          <w:szCs w:val="22"/>
        </w:rPr>
      </w:pPr>
      <w:r w:rsidRPr="008A558B">
        <w:rPr>
          <w:szCs w:val="22"/>
        </w:rPr>
        <w:t>Čirý žlutý roztok bez viditelných částic</w:t>
      </w:r>
    </w:p>
    <w:p w14:paraId="4AD1B279" w14:textId="77777777" w:rsidR="00587780" w:rsidRPr="008A558B" w:rsidRDefault="00587780" w:rsidP="004314F9">
      <w:pPr>
        <w:spacing w:after="0" w:line="240" w:lineRule="auto"/>
        <w:ind w:left="0" w:right="2" w:firstLine="0"/>
        <w:rPr>
          <w:szCs w:val="22"/>
          <w:lang w:val="cs-CZ"/>
        </w:rPr>
      </w:pPr>
    </w:p>
    <w:p w14:paraId="0149F288" w14:textId="5DA29D76" w:rsidR="00FF6474" w:rsidRPr="00382825" w:rsidRDefault="008E0299" w:rsidP="004314F9">
      <w:pPr>
        <w:tabs>
          <w:tab w:val="left" w:pos="567"/>
        </w:tabs>
        <w:spacing w:after="0" w:line="240" w:lineRule="auto"/>
        <w:ind w:left="0" w:right="2" w:firstLine="0"/>
        <w:rPr>
          <w:szCs w:val="22"/>
          <w:lang w:val="cs-CZ"/>
        </w:rPr>
      </w:pPr>
      <w:r w:rsidRPr="00421879">
        <w:rPr>
          <w:b/>
          <w:szCs w:val="22"/>
          <w:highlight w:val="lightGray"/>
          <w:lang w:val="cs-CZ"/>
        </w:rPr>
        <w:t>3.</w:t>
      </w:r>
      <w:r>
        <w:rPr>
          <w:b/>
          <w:szCs w:val="22"/>
          <w:lang w:val="cs-CZ"/>
        </w:rPr>
        <w:tab/>
      </w:r>
      <w:r w:rsidR="00A711ED" w:rsidRPr="00382825">
        <w:rPr>
          <w:b/>
          <w:szCs w:val="22"/>
          <w:lang w:val="cs-CZ"/>
        </w:rPr>
        <w:t xml:space="preserve">Cílové druhy zvířat </w:t>
      </w:r>
    </w:p>
    <w:p w14:paraId="0CE9ED5A" w14:textId="77777777" w:rsidR="00FF6474" w:rsidRPr="008A558B" w:rsidRDefault="00A711ED" w:rsidP="004314F9">
      <w:pPr>
        <w:spacing w:after="0" w:line="240" w:lineRule="auto"/>
        <w:ind w:left="0" w:right="2" w:firstLine="0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61093BE9" w14:textId="77777777" w:rsidR="004827C8" w:rsidRPr="008A558B" w:rsidRDefault="004827C8" w:rsidP="004314F9">
      <w:pPr>
        <w:spacing w:after="0" w:line="240" w:lineRule="auto"/>
        <w:ind w:right="2"/>
        <w:rPr>
          <w:bCs/>
          <w:szCs w:val="22"/>
          <w:lang w:val="cs-CZ"/>
        </w:rPr>
      </w:pPr>
      <w:r w:rsidRPr="008A558B">
        <w:rPr>
          <w:bCs/>
          <w:szCs w:val="22"/>
          <w:lang w:val="cs-CZ"/>
        </w:rPr>
        <w:t>Skot, koně, prasata, psi, kočky.</w:t>
      </w:r>
    </w:p>
    <w:p w14:paraId="0543540A" w14:textId="77777777" w:rsidR="00FF6474" w:rsidRPr="008A558B" w:rsidRDefault="00A711ED" w:rsidP="004314F9">
      <w:pPr>
        <w:spacing w:after="0" w:line="240" w:lineRule="auto"/>
        <w:ind w:left="0" w:right="2" w:firstLine="0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02FBC769" w14:textId="0645F6F4" w:rsidR="00FF6474" w:rsidRPr="00382825" w:rsidRDefault="008E0299" w:rsidP="004314F9">
      <w:pPr>
        <w:tabs>
          <w:tab w:val="left" w:pos="567"/>
        </w:tabs>
        <w:spacing w:after="0" w:line="240" w:lineRule="auto"/>
        <w:ind w:left="0" w:right="2" w:firstLine="0"/>
        <w:jc w:val="both"/>
        <w:rPr>
          <w:szCs w:val="22"/>
          <w:lang w:val="cs-CZ"/>
        </w:rPr>
      </w:pPr>
      <w:r w:rsidRPr="00421879">
        <w:rPr>
          <w:b/>
          <w:szCs w:val="22"/>
          <w:highlight w:val="lightGray"/>
          <w:lang w:val="cs-CZ"/>
        </w:rPr>
        <w:t>4.</w:t>
      </w:r>
      <w:r>
        <w:rPr>
          <w:b/>
          <w:szCs w:val="22"/>
          <w:lang w:val="cs-CZ"/>
        </w:rPr>
        <w:tab/>
      </w:r>
      <w:r w:rsidR="00A711ED" w:rsidRPr="00382825">
        <w:rPr>
          <w:b/>
          <w:szCs w:val="22"/>
          <w:lang w:val="cs-CZ"/>
        </w:rPr>
        <w:t xml:space="preserve">Indikace pro použití </w:t>
      </w:r>
    </w:p>
    <w:p w14:paraId="101DB2B8" w14:textId="77777777" w:rsidR="00FF6474" w:rsidRPr="008A558B" w:rsidRDefault="00A711ED" w:rsidP="004314F9">
      <w:pPr>
        <w:spacing w:after="0" w:line="240" w:lineRule="auto"/>
        <w:ind w:left="0" w:right="2" w:firstLine="0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1B036F54" w14:textId="0F7DB261" w:rsidR="004827C8" w:rsidRPr="004314F9" w:rsidRDefault="004827C8" w:rsidP="004314F9">
      <w:pPr>
        <w:pStyle w:val="Zkladntext"/>
        <w:ind w:right="2"/>
        <w:jc w:val="both"/>
        <w:rPr>
          <w:szCs w:val="22"/>
        </w:rPr>
      </w:pPr>
      <w:r w:rsidRPr="004314F9">
        <w:rPr>
          <w:szCs w:val="22"/>
        </w:rPr>
        <w:t xml:space="preserve">Léčba infekcí respiračního, urogenitálního a </w:t>
      </w:r>
      <w:r w:rsidR="003D369F" w:rsidRPr="004314F9">
        <w:rPr>
          <w:szCs w:val="22"/>
        </w:rPr>
        <w:t xml:space="preserve">gastrointestinálního </w:t>
      </w:r>
      <w:r w:rsidRPr="004314F9">
        <w:rPr>
          <w:szCs w:val="22"/>
        </w:rPr>
        <w:t xml:space="preserve">traktu, </w:t>
      </w:r>
      <w:proofErr w:type="spellStart"/>
      <w:r w:rsidRPr="004314F9">
        <w:rPr>
          <w:szCs w:val="22"/>
        </w:rPr>
        <w:t>pododermatitidy</w:t>
      </w:r>
      <w:proofErr w:type="spellEnd"/>
      <w:r w:rsidRPr="004314F9">
        <w:rPr>
          <w:szCs w:val="22"/>
        </w:rPr>
        <w:t>, mastitidy, agalakcie</w:t>
      </w:r>
      <w:r w:rsidR="004814E6" w:rsidRPr="004314F9">
        <w:rPr>
          <w:szCs w:val="22"/>
        </w:rPr>
        <w:t xml:space="preserve"> </w:t>
      </w:r>
      <w:bookmarkStart w:id="0" w:name="_Hlk224120170"/>
      <w:r w:rsidR="004814E6" w:rsidRPr="004314F9">
        <w:rPr>
          <w:szCs w:val="22"/>
        </w:rPr>
        <w:t>prasnic</w:t>
      </w:r>
      <w:bookmarkEnd w:id="0"/>
      <w:r w:rsidR="00474A18" w:rsidRPr="004314F9">
        <w:rPr>
          <w:szCs w:val="22"/>
        </w:rPr>
        <w:t xml:space="preserve"> apod.,</w:t>
      </w:r>
      <w:r w:rsidRPr="004314F9">
        <w:rPr>
          <w:szCs w:val="22"/>
        </w:rPr>
        <w:t xml:space="preserve"> vyvolaných </w:t>
      </w:r>
      <w:proofErr w:type="spellStart"/>
      <w:r w:rsidRPr="004314F9">
        <w:rPr>
          <w:szCs w:val="22"/>
        </w:rPr>
        <w:t>grampozitivními</w:t>
      </w:r>
      <w:proofErr w:type="spellEnd"/>
      <w:r w:rsidRPr="004314F9">
        <w:rPr>
          <w:szCs w:val="22"/>
        </w:rPr>
        <w:t xml:space="preserve"> a gramnegativními </w:t>
      </w:r>
      <w:bookmarkStart w:id="1" w:name="_Hlk224041574"/>
      <w:r w:rsidR="00887699" w:rsidRPr="004314F9">
        <w:rPr>
          <w:szCs w:val="22"/>
        </w:rPr>
        <w:t>bakteriemi</w:t>
      </w:r>
      <w:r w:rsidR="003D369F" w:rsidRPr="004314F9">
        <w:rPr>
          <w:szCs w:val="22"/>
        </w:rPr>
        <w:t xml:space="preserve"> </w:t>
      </w:r>
      <w:bookmarkEnd w:id="1"/>
      <w:r w:rsidRPr="004314F9">
        <w:rPr>
          <w:szCs w:val="22"/>
        </w:rPr>
        <w:t xml:space="preserve">citlivými ke kombinaci sulfadiazinu a trimethoprimu jako jsou: </w:t>
      </w:r>
      <w:bookmarkStart w:id="2" w:name="_Hlk224120147"/>
      <w:r w:rsidR="0088505B" w:rsidRPr="004314F9">
        <w:rPr>
          <w:bCs w:val="0"/>
          <w:i/>
          <w:iCs/>
          <w:color w:val="000000"/>
          <w:kern w:val="2"/>
          <w:szCs w:val="22"/>
          <w:lang w:val="en-GB" w:eastAsia="en-GB"/>
          <w14:ligatures w14:val="standardContextual"/>
        </w:rPr>
        <w:t xml:space="preserve">Corynebacterium </w:t>
      </w:r>
      <w:r w:rsidR="0088505B" w:rsidRPr="004314F9">
        <w:rPr>
          <w:bCs w:val="0"/>
          <w:iCs/>
          <w:color w:val="000000"/>
          <w:kern w:val="2"/>
          <w:szCs w:val="22"/>
          <w:lang w:val="en-GB" w:eastAsia="en-GB"/>
          <w14:ligatures w14:val="standardContextual"/>
        </w:rPr>
        <w:t>spp.</w:t>
      </w:r>
      <w:r w:rsidR="0088505B" w:rsidRPr="004314F9">
        <w:rPr>
          <w:bCs w:val="0"/>
          <w:i/>
          <w:iCs/>
          <w:color w:val="000000"/>
          <w:kern w:val="2"/>
          <w:szCs w:val="22"/>
          <w:lang w:val="en-GB" w:eastAsia="en-GB"/>
          <w14:ligatures w14:val="standardContextual"/>
        </w:rPr>
        <w:t xml:space="preserve">, Streptococcus </w:t>
      </w:r>
      <w:r w:rsidR="0088505B" w:rsidRPr="004314F9">
        <w:rPr>
          <w:bCs w:val="0"/>
          <w:iCs/>
          <w:color w:val="000000"/>
          <w:kern w:val="2"/>
          <w:szCs w:val="22"/>
          <w:lang w:val="en-GB" w:eastAsia="en-GB"/>
          <w14:ligatures w14:val="standardContextual"/>
        </w:rPr>
        <w:t>spp.</w:t>
      </w:r>
      <w:r w:rsidR="0088505B" w:rsidRPr="004314F9">
        <w:rPr>
          <w:bCs w:val="0"/>
          <w:i/>
          <w:iCs/>
          <w:color w:val="000000"/>
          <w:kern w:val="2"/>
          <w:szCs w:val="22"/>
          <w:lang w:val="en-GB" w:eastAsia="en-GB"/>
          <w14:ligatures w14:val="standardContextual"/>
        </w:rPr>
        <w:t xml:space="preserve">, </w:t>
      </w:r>
      <w:proofErr w:type="spellStart"/>
      <w:r w:rsidR="0088505B" w:rsidRPr="004314F9">
        <w:rPr>
          <w:bCs w:val="0"/>
          <w:i/>
          <w:iCs/>
          <w:color w:val="000000"/>
          <w:kern w:val="2"/>
          <w:szCs w:val="22"/>
          <w:lang w:val="en-GB" w:eastAsia="en-GB"/>
          <w14:ligatures w14:val="standardContextual"/>
        </w:rPr>
        <w:t>Actinobacillus</w:t>
      </w:r>
      <w:proofErr w:type="spellEnd"/>
      <w:r w:rsidR="0088505B" w:rsidRPr="004314F9">
        <w:rPr>
          <w:bCs w:val="0"/>
          <w:i/>
          <w:iCs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  <w:r w:rsidR="0088505B" w:rsidRPr="004314F9">
        <w:rPr>
          <w:bCs w:val="0"/>
          <w:iCs/>
          <w:color w:val="000000"/>
          <w:kern w:val="2"/>
          <w:szCs w:val="22"/>
          <w:lang w:val="en-GB" w:eastAsia="en-GB"/>
          <w14:ligatures w14:val="standardContextual"/>
        </w:rPr>
        <w:t>spp.</w:t>
      </w:r>
      <w:r w:rsidR="0088505B" w:rsidRPr="004314F9">
        <w:rPr>
          <w:bCs w:val="0"/>
          <w:i/>
          <w:iCs/>
          <w:color w:val="000000"/>
          <w:kern w:val="2"/>
          <w:szCs w:val="22"/>
          <w:lang w:val="en-GB" w:eastAsia="en-GB"/>
          <w14:ligatures w14:val="standardContextual"/>
        </w:rPr>
        <w:t xml:space="preserve">, Bordetella </w:t>
      </w:r>
      <w:r w:rsidR="0088505B" w:rsidRPr="004314F9">
        <w:rPr>
          <w:bCs w:val="0"/>
          <w:iCs/>
          <w:color w:val="000000"/>
          <w:kern w:val="2"/>
          <w:szCs w:val="22"/>
          <w:lang w:val="en-GB" w:eastAsia="en-GB"/>
          <w14:ligatures w14:val="standardContextual"/>
        </w:rPr>
        <w:t>spp.</w:t>
      </w:r>
      <w:r w:rsidR="0088505B" w:rsidRPr="004314F9">
        <w:rPr>
          <w:bCs w:val="0"/>
          <w:i/>
          <w:iCs/>
          <w:color w:val="000000"/>
          <w:kern w:val="2"/>
          <w:szCs w:val="22"/>
          <w:lang w:val="en-GB" w:eastAsia="en-GB"/>
          <w14:ligatures w14:val="standardContextual"/>
        </w:rPr>
        <w:t xml:space="preserve">, Brucella </w:t>
      </w:r>
      <w:r w:rsidR="0088505B" w:rsidRPr="004314F9">
        <w:rPr>
          <w:bCs w:val="0"/>
          <w:iCs/>
          <w:color w:val="000000"/>
          <w:kern w:val="2"/>
          <w:szCs w:val="22"/>
          <w:lang w:val="en-GB" w:eastAsia="en-GB"/>
          <w14:ligatures w14:val="standardContextual"/>
        </w:rPr>
        <w:t>spp</w:t>
      </w:r>
      <w:r w:rsidR="0088505B" w:rsidRPr="004314F9">
        <w:rPr>
          <w:bCs w:val="0"/>
          <w:i/>
          <w:iCs/>
          <w:color w:val="000000"/>
          <w:kern w:val="2"/>
          <w:szCs w:val="22"/>
          <w:lang w:val="en-GB" w:eastAsia="en-GB"/>
          <w14:ligatures w14:val="standardContextual"/>
        </w:rPr>
        <w:t xml:space="preserve">., Escherichia coli, Klebsiella </w:t>
      </w:r>
      <w:r w:rsidR="0088505B" w:rsidRPr="004314F9">
        <w:rPr>
          <w:bCs w:val="0"/>
          <w:iCs/>
          <w:color w:val="000000"/>
          <w:kern w:val="2"/>
          <w:szCs w:val="22"/>
          <w:lang w:val="en-GB" w:eastAsia="en-GB"/>
          <w14:ligatures w14:val="standardContextual"/>
        </w:rPr>
        <w:t>spp.</w:t>
      </w:r>
      <w:r w:rsidR="0088505B" w:rsidRPr="004314F9">
        <w:rPr>
          <w:bCs w:val="0"/>
          <w:i/>
          <w:iCs/>
          <w:color w:val="000000"/>
          <w:kern w:val="2"/>
          <w:szCs w:val="22"/>
          <w:lang w:val="en-GB" w:eastAsia="en-GB"/>
          <w14:ligatures w14:val="standardContextual"/>
        </w:rPr>
        <w:t xml:space="preserve">, Pasteurella </w:t>
      </w:r>
      <w:r w:rsidR="0088505B" w:rsidRPr="004314F9">
        <w:rPr>
          <w:bCs w:val="0"/>
          <w:iCs/>
          <w:color w:val="000000"/>
          <w:kern w:val="2"/>
          <w:szCs w:val="22"/>
          <w:lang w:val="en-GB" w:eastAsia="en-GB"/>
          <w14:ligatures w14:val="standardContextual"/>
        </w:rPr>
        <w:t>spp.</w:t>
      </w:r>
      <w:r w:rsidR="0088505B" w:rsidRPr="004314F9">
        <w:rPr>
          <w:bCs w:val="0"/>
          <w:i/>
          <w:iCs/>
          <w:color w:val="000000"/>
          <w:kern w:val="2"/>
          <w:szCs w:val="22"/>
          <w:lang w:val="en-GB" w:eastAsia="en-GB"/>
          <w14:ligatures w14:val="standardContextual"/>
        </w:rPr>
        <w:t xml:space="preserve">, Proteus </w:t>
      </w:r>
      <w:r w:rsidR="0088505B" w:rsidRPr="004314F9">
        <w:rPr>
          <w:bCs w:val="0"/>
          <w:iCs/>
          <w:color w:val="000000"/>
          <w:kern w:val="2"/>
          <w:szCs w:val="22"/>
          <w:lang w:val="en-GB" w:eastAsia="en-GB"/>
          <w14:ligatures w14:val="standardContextual"/>
        </w:rPr>
        <w:t>spp.</w:t>
      </w:r>
      <w:r w:rsidR="0088505B" w:rsidRPr="004314F9">
        <w:rPr>
          <w:bCs w:val="0"/>
          <w:i/>
          <w:iCs/>
          <w:color w:val="000000"/>
          <w:kern w:val="2"/>
          <w:szCs w:val="22"/>
          <w:lang w:val="en-GB" w:eastAsia="en-GB"/>
          <w14:ligatures w14:val="standardContextual"/>
        </w:rPr>
        <w:t xml:space="preserve">, Salmonella </w:t>
      </w:r>
      <w:r w:rsidR="0088505B" w:rsidRPr="004314F9">
        <w:rPr>
          <w:bCs w:val="0"/>
          <w:iCs/>
          <w:color w:val="000000"/>
          <w:kern w:val="2"/>
          <w:szCs w:val="22"/>
          <w:lang w:val="en-GB" w:eastAsia="en-GB"/>
          <w14:ligatures w14:val="standardContextual"/>
        </w:rPr>
        <w:t>spp.</w:t>
      </w:r>
      <w:r w:rsidR="0088505B" w:rsidRPr="004314F9">
        <w:rPr>
          <w:bCs w:val="0"/>
          <w:i/>
          <w:iCs/>
          <w:color w:val="000000"/>
          <w:kern w:val="2"/>
          <w:szCs w:val="22"/>
          <w:lang w:val="en-GB" w:eastAsia="en-GB"/>
          <w14:ligatures w14:val="standardContextual"/>
        </w:rPr>
        <w:t xml:space="preserve">, Actinomyces </w:t>
      </w:r>
      <w:r w:rsidR="0088505B" w:rsidRPr="004314F9">
        <w:rPr>
          <w:bCs w:val="0"/>
          <w:iCs/>
          <w:color w:val="000000"/>
          <w:kern w:val="2"/>
          <w:szCs w:val="22"/>
          <w:lang w:val="en-GB" w:eastAsia="en-GB"/>
          <w14:ligatures w14:val="standardContextual"/>
        </w:rPr>
        <w:t>spp.</w:t>
      </w:r>
      <w:r w:rsidR="0088505B" w:rsidRPr="004314F9">
        <w:rPr>
          <w:bCs w:val="0"/>
          <w:i/>
          <w:iCs/>
          <w:color w:val="000000"/>
          <w:kern w:val="2"/>
          <w:szCs w:val="22"/>
          <w:lang w:val="en-GB" w:eastAsia="en-GB"/>
          <w14:ligatures w14:val="standardContextual"/>
        </w:rPr>
        <w:t xml:space="preserve">, </w:t>
      </w:r>
      <w:proofErr w:type="spellStart"/>
      <w:r w:rsidR="0088505B" w:rsidRPr="004314F9">
        <w:rPr>
          <w:bCs w:val="0"/>
          <w:i/>
          <w:iCs/>
          <w:color w:val="000000"/>
          <w:kern w:val="2"/>
          <w:szCs w:val="22"/>
          <w:lang w:val="en-GB" w:eastAsia="en-GB"/>
          <w14:ligatures w14:val="standardContextual"/>
        </w:rPr>
        <w:t>Trueperella</w:t>
      </w:r>
      <w:proofErr w:type="spellEnd"/>
      <w:r w:rsidR="0088505B" w:rsidRPr="004314F9">
        <w:rPr>
          <w:bCs w:val="0"/>
          <w:i/>
          <w:iCs/>
          <w:color w:val="000000"/>
          <w:kern w:val="2"/>
          <w:szCs w:val="22"/>
          <w:lang w:val="en-GB" w:eastAsia="en-GB"/>
          <w14:ligatures w14:val="standardContextual"/>
        </w:rPr>
        <w:t xml:space="preserve"> pyogenes, Campylobacter </w:t>
      </w:r>
      <w:r w:rsidR="0088505B" w:rsidRPr="004314F9">
        <w:rPr>
          <w:bCs w:val="0"/>
          <w:iCs/>
          <w:color w:val="000000"/>
          <w:kern w:val="2"/>
          <w:szCs w:val="22"/>
          <w:lang w:val="en-GB" w:eastAsia="en-GB"/>
          <w14:ligatures w14:val="standardContextual"/>
        </w:rPr>
        <w:t>spp.</w:t>
      </w:r>
      <w:r w:rsidR="0088505B" w:rsidRPr="004314F9">
        <w:rPr>
          <w:bCs w:val="0"/>
          <w:i/>
          <w:iCs/>
          <w:color w:val="000000"/>
          <w:kern w:val="2"/>
          <w:szCs w:val="22"/>
          <w:lang w:val="en-GB" w:eastAsia="en-GB"/>
          <w14:ligatures w14:val="standardContextual"/>
        </w:rPr>
        <w:t xml:space="preserve">, </w:t>
      </w:r>
      <w:proofErr w:type="spellStart"/>
      <w:r w:rsidR="0088505B" w:rsidRPr="004314F9">
        <w:rPr>
          <w:bCs w:val="0"/>
          <w:i/>
          <w:iCs/>
          <w:color w:val="000000"/>
          <w:kern w:val="2"/>
          <w:szCs w:val="22"/>
          <w:lang w:val="en-GB" w:eastAsia="en-GB"/>
          <w14:ligatures w14:val="standardContextual"/>
        </w:rPr>
        <w:t>Glaesserella</w:t>
      </w:r>
      <w:proofErr w:type="spellEnd"/>
      <w:r w:rsidR="0088505B" w:rsidRPr="004314F9">
        <w:rPr>
          <w:bCs w:val="0"/>
          <w:i/>
          <w:iCs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  <w:proofErr w:type="spellStart"/>
      <w:r w:rsidR="0088505B" w:rsidRPr="004314F9">
        <w:rPr>
          <w:bCs w:val="0"/>
          <w:i/>
          <w:iCs/>
          <w:color w:val="000000"/>
          <w:kern w:val="2"/>
          <w:szCs w:val="22"/>
          <w:lang w:val="en-GB" w:eastAsia="en-GB"/>
          <w14:ligatures w14:val="standardContextual"/>
        </w:rPr>
        <w:t>parasuis</w:t>
      </w:r>
      <w:proofErr w:type="spellEnd"/>
      <w:r w:rsidR="0088505B" w:rsidRPr="004314F9">
        <w:rPr>
          <w:bCs w:val="0"/>
          <w:i/>
          <w:iCs/>
          <w:color w:val="000000"/>
          <w:kern w:val="2"/>
          <w:szCs w:val="22"/>
          <w:lang w:val="en-GB" w:eastAsia="en-GB"/>
          <w14:ligatures w14:val="standardContextual"/>
        </w:rPr>
        <w:t xml:space="preserve">, </w:t>
      </w:r>
      <w:proofErr w:type="spellStart"/>
      <w:r w:rsidR="0088505B" w:rsidRPr="004314F9">
        <w:rPr>
          <w:bCs w:val="0"/>
          <w:i/>
          <w:iCs/>
          <w:color w:val="000000"/>
          <w:kern w:val="2"/>
          <w:szCs w:val="22"/>
          <w:lang w:val="en-GB" w:eastAsia="en-GB"/>
          <w14:ligatures w14:val="standardContextual"/>
        </w:rPr>
        <w:t>Histophilus</w:t>
      </w:r>
      <w:proofErr w:type="spellEnd"/>
      <w:r w:rsidR="0088505B" w:rsidRPr="004314F9">
        <w:rPr>
          <w:bCs w:val="0"/>
          <w:i/>
          <w:iCs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  <w:proofErr w:type="spellStart"/>
      <w:r w:rsidR="0088505B" w:rsidRPr="004314F9">
        <w:rPr>
          <w:bCs w:val="0"/>
          <w:i/>
          <w:iCs/>
          <w:color w:val="000000"/>
          <w:kern w:val="2"/>
          <w:szCs w:val="22"/>
          <w:lang w:val="en-GB" w:eastAsia="en-GB"/>
          <w14:ligatures w14:val="standardContextual"/>
        </w:rPr>
        <w:t>somni</w:t>
      </w:r>
      <w:proofErr w:type="spellEnd"/>
      <w:r w:rsidR="0088505B" w:rsidRPr="004314F9">
        <w:rPr>
          <w:bCs w:val="0"/>
          <w:i/>
          <w:iCs/>
          <w:color w:val="000000"/>
          <w:kern w:val="2"/>
          <w:szCs w:val="22"/>
          <w:lang w:val="en-GB" w:eastAsia="en-GB"/>
          <w14:ligatures w14:val="standardContextual"/>
        </w:rPr>
        <w:t xml:space="preserve"> a </w:t>
      </w:r>
      <w:proofErr w:type="spellStart"/>
      <w:r w:rsidR="0088505B" w:rsidRPr="004314F9">
        <w:rPr>
          <w:bCs w:val="0"/>
          <w:i/>
          <w:iCs/>
          <w:color w:val="000000"/>
          <w:kern w:val="2"/>
          <w:szCs w:val="22"/>
          <w:lang w:val="en-GB" w:eastAsia="en-GB"/>
          <w14:ligatures w14:val="standardContextual"/>
        </w:rPr>
        <w:t>Taylorella</w:t>
      </w:r>
      <w:proofErr w:type="spellEnd"/>
      <w:r w:rsidR="0088505B" w:rsidRPr="004314F9">
        <w:rPr>
          <w:bCs w:val="0"/>
          <w:i/>
          <w:iCs/>
          <w:color w:val="000000"/>
          <w:kern w:val="2"/>
          <w:szCs w:val="22"/>
          <w:lang w:val="en-GB" w:eastAsia="en-GB"/>
          <w14:ligatures w14:val="standardContextual"/>
        </w:rPr>
        <w:t xml:space="preserve"> </w:t>
      </w:r>
      <w:proofErr w:type="spellStart"/>
      <w:r w:rsidR="0088505B" w:rsidRPr="004314F9">
        <w:rPr>
          <w:bCs w:val="0"/>
          <w:i/>
          <w:iCs/>
          <w:color w:val="000000"/>
          <w:kern w:val="2"/>
          <w:szCs w:val="22"/>
          <w:lang w:val="en-GB" w:eastAsia="en-GB"/>
          <w14:ligatures w14:val="standardContextual"/>
        </w:rPr>
        <w:t>equigenitalis</w:t>
      </w:r>
      <w:bookmarkEnd w:id="2"/>
      <w:proofErr w:type="spellEnd"/>
      <w:r w:rsidRPr="004314F9">
        <w:rPr>
          <w:szCs w:val="22"/>
        </w:rPr>
        <w:t>.</w:t>
      </w:r>
    </w:p>
    <w:p w14:paraId="5E5DF514" w14:textId="77777777" w:rsidR="00FF6474" w:rsidRPr="004314F9" w:rsidRDefault="00FF6474" w:rsidP="004314F9">
      <w:pPr>
        <w:spacing w:after="0" w:line="240" w:lineRule="auto"/>
        <w:ind w:left="0" w:right="2" w:firstLine="0"/>
        <w:jc w:val="both"/>
        <w:rPr>
          <w:szCs w:val="22"/>
          <w:lang w:val="cs-CZ"/>
        </w:rPr>
      </w:pPr>
    </w:p>
    <w:p w14:paraId="558FEA40" w14:textId="0FC61BFD" w:rsidR="00FF6474" w:rsidRPr="004314F9" w:rsidRDefault="008E0299" w:rsidP="004314F9">
      <w:pPr>
        <w:tabs>
          <w:tab w:val="left" w:pos="567"/>
        </w:tabs>
        <w:spacing w:after="0" w:line="240" w:lineRule="auto"/>
        <w:ind w:left="0" w:right="2" w:firstLine="0"/>
        <w:jc w:val="both"/>
        <w:rPr>
          <w:szCs w:val="22"/>
          <w:lang w:val="cs-CZ"/>
        </w:rPr>
      </w:pPr>
      <w:r w:rsidRPr="004314F9">
        <w:rPr>
          <w:b/>
          <w:szCs w:val="22"/>
          <w:highlight w:val="lightGray"/>
          <w:lang w:val="cs-CZ"/>
        </w:rPr>
        <w:t>5.</w:t>
      </w:r>
      <w:r w:rsidRPr="004314F9">
        <w:rPr>
          <w:b/>
          <w:szCs w:val="22"/>
          <w:lang w:val="cs-CZ"/>
        </w:rPr>
        <w:tab/>
      </w:r>
      <w:r w:rsidR="00A711ED" w:rsidRPr="004314F9">
        <w:rPr>
          <w:b/>
          <w:szCs w:val="22"/>
          <w:lang w:val="cs-CZ"/>
        </w:rPr>
        <w:t xml:space="preserve">Kontraindikace </w:t>
      </w:r>
    </w:p>
    <w:p w14:paraId="0D1A83A7" w14:textId="77777777" w:rsidR="00FF6474" w:rsidRPr="004314F9" w:rsidRDefault="00A711ED" w:rsidP="004314F9">
      <w:pPr>
        <w:spacing w:after="0" w:line="240" w:lineRule="auto"/>
        <w:ind w:left="0" w:right="2" w:firstLine="0"/>
        <w:jc w:val="both"/>
        <w:rPr>
          <w:szCs w:val="22"/>
          <w:lang w:val="cs-CZ"/>
        </w:rPr>
      </w:pPr>
      <w:r w:rsidRPr="004314F9">
        <w:rPr>
          <w:szCs w:val="22"/>
          <w:lang w:val="cs-CZ"/>
        </w:rPr>
        <w:t xml:space="preserve"> </w:t>
      </w:r>
    </w:p>
    <w:p w14:paraId="500EA8AA" w14:textId="77777777" w:rsidR="003D369F" w:rsidRPr="004314F9" w:rsidRDefault="003D369F" w:rsidP="004314F9">
      <w:pPr>
        <w:spacing w:after="0" w:line="240" w:lineRule="auto"/>
        <w:ind w:left="0" w:right="2" w:firstLine="0"/>
        <w:jc w:val="both"/>
        <w:rPr>
          <w:bCs/>
          <w:szCs w:val="22"/>
          <w:lang w:val="cs-CZ"/>
        </w:rPr>
      </w:pPr>
      <w:r w:rsidRPr="004314F9">
        <w:rPr>
          <w:bCs/>
          <w:szCs w:val="22"/>
          <w:lang w:val="cs-CZ"/>
        </w:rPr>
        <w:t>Nepoužívat v případech přecitlivělosti na léčivou(é) látku(y) nebo na některou z pomocných látek.</w:t>
      </w:r>
    </w:p>
    <w:p w14:paraId="5D696975" w14:textId="77777777" w:rsidR="003D369F" w:rsidRPr="004314F9" w:rsidRDefault="003D369F" w:rsidP="004314F9">
      <w:pPr>
        <w:spacing w:after="0" w:line="240" w:lineRule="auto"/>
        <w:ind w:left="0" w:right="2" w:firstLine="0"/>
        <w:jc w:val="both"/>
        <w:rPr>
          <w:bCs/>
          <w:szCs w:val="22"/>
          <w:lang w:val="cs-CZ"/>
        </w:rPr>
      </w:pPr>
      <w:r w:rsidRPr="004314F9">
        <w:rPr>
          <w:bCs/>
          <w:szCs w:val="22"/>
          <w:lang w:val="cs-CZ"/>
        </w:rPr>
        <w:t xml:space="preserve">Nepodávat intraperitoneálně. </w:t>
      </w:r>
    </w:p>
    <w:p w14:paraId="2FFF9654" w14:textId="77777777" w:rsidR="003D369F" w:rsidRPr="004314F9" w:rsidRDefault="003D369F" w:rsidP="004314F9">
      <w:pPr>
        <w:spacing w:after="0" w:line="240" w:lineRule="auto"/>
        <w:ind w:left="0" w:right="2" w:firstLine="0"/>
        <w:jc w:val="both"/>
        <w:rPr>
          <w:bCs/>
          <w:szCs w:val="22"/>
          <w:lang w:val="cs-CZ"/>
        </w:rPr>
      </w:pPr>
      <w:r w:rsidRPr="004314F9">
        <w:rPr>
          <w:bCs/>
          <w:szCs w:val="22"/>
          <w:lang w:val="cs-CZ"/>
        </w:rPr>
        <w:t>Nepodávat zvířatům s těžkým poškozením jater nebo ledvin a s poruchou krvetvorby.</w:t>
      </w:r>
    </w:p>
    <w:p w14:paraId="7B36F2C6" w14:textId="454612AD" w:rsidR="003D369F" w:rsidRPr="004314F9" w:rsidRDefault="003D369F" w:rsidP="004314F9">
      <w:pPr>
        <w:spacing w:after="0" w:line="240" w:lineRule="auto"/>
        <w:ind w:left="0" w:right="2" w:firstLine="0"/>
        <w:jc w:val="both"/>
        <w:rPr>
          <w:b/>
          <w:bCs/>
          <w:szCs w:val="22"/>
          <w:lang w:val="cs-CZ"/>
        </w:rPr>
      </w:pPr>
      <w:r w:rsidRPr="004314F9">
        <w:rPr>
          <w:bCs/>
          <w:szCs w:val="22"/>
          <w:lang w:val="cs-CZ"/>
        </w:rPr>
        <w:t xml:space="preserve">Nepodávat koním současně s léčivými přípravky, které mohou vyvolat srdeční arytmii (např. některá sedativa a </w:t>
      </w:r>
      <w:r w:rsidR="004314F9" w:rsidRPr="004314F9">
        <w:rPr>
          <w:bCs/>
          <w:szCs w:val="22"/>
          <w:lang w:val="cs-CZ"/>
        </w:rPr>
        <w:t>anestetika</w:t>
      </w:r>
      <w:r w:rsidR="00474A18" w:rsidRPr="004314F9">
        <w:rPr>
          <w:bCs/>
          <w:szCs w:val="22"/>
          <w:lang w:val="cs-CZ"/>
        </w:rPr>
        <w:t xml:space="preserve"> apod.</w:t>
      </w:r>
      <w:r w:rsidRPr="004314F9">
        <w:rPr>
          <w:bCs/>
          <w:szCs w:val="22"/>
          <w:lang w:val="cs-CZ"/>
        </w:rPr>
        <w:t>).</w:t>
      </w:r>
    </w:p>
    <w:p w14:paraId="4D394E72" w14:textId="77777777" w:rsidR="00FF6474" w:rsidRPr="004314F9" w:rsidRDefault="00A711ED" w:rsidP="004314F9">
      <w:pPr>
        <w:spacing w:after="0" w:line="240" w:lineRule="auto"/>
        <w:ind w:left="0" w:right="2" w:firstLine="0"/>
        <w:jc w:val="both"/>
        <w:rPr>
          <w:szCs w:val="22"/>
          <w:lang w:val="cs-CZ"/>
        </w:rPr>
      </w:pPr>
      <w:r w:rsidRPr="004314F9">
        <w:rPr>
          <w:szCs w:val="22"/>
          <w:lang w:val="cs-CZ"/>
        </w:rPr>
        <w:t xml:space="preserve"> </w:t>
      </w:r>
    </w:p>
    <w:p w14:paraId="2A834EC5" w14:textId="77777777" w:rsidR="00FF6474" w:rsidRPr="004314F9" w:rsidRDefault="00A711ED" w:rsidP="004314F9">
      <w:pPr>
        <w:pStyle w:val="Nadpis3"/>
        <w:tabs>
          <w:tab w:val="center" w:pos="1512"/>
        </w:tabs>
        <w:spacing w:after="0" w:line="240" w:lineRule="auto"/>
        <w:ind w:left="-14" w:right="2" w:firstLine="0"/>
        <w:jc w:val="both"/>
        <w:rPr>
          <w:szCs w:val="22"/>
          <w:lang w:val="cs-CZ"/>
        </w:rPr>
      </w:pPr>
      <w:r w:rsidRPr="004314F9">
        <w:rPr>
          <w:szCs w:val="22"/>
          <w:shd w:val="clear" w:color="auto" w:fill="D3D3D3"/>
          <w:lang w:val="cs-CZ"/>
        </w:rPr>
        <w:t>6.</w:t>
      </w:r>
      <w:r w:rsidRPr="004314F9">
        <w:rPr>
          <w:szCs w:val="22"/>
          <w:lang w:val="cs-CZ"/>
        </w:rPr>
        <w:t xml:space="preserve"> </w:t>
      </w:r>
      <w:r w:rsidRPr="004314F9">
        <w:rPr>
          <w:szCs w:val="22"/>
          <w:lang w:val="cs-CZ"/>
        </w:rPr>
        <w:tab/>
        <w:t xml:space="preserve">Zvláštní upozornění </w:t>
      </w:r>
    </w:p>
    <w:p w14:paraId="0A71AFDD" w14:textId="77777777" w:rsidR="00FF6474" w:rsidRPr="004314F9" w:rsidRDefault="00A711ED" w:rsidP="004314F9">
      <w:pPr>
        <w:spacing w:after="0" w:line="240" w:lineRule="auto"/>
        <w:ind w:left="0" w:right="2" w:firstLine="0"/>
        <w:jc w:val="both"/>
        <w:rPr>
          <w:szCs w:val="22"/>
          <w:lang w:val="cs-CZ"/>
        </w:rPr>
      </w:pPr>
      <w:r w:rsidRPr="004314F9">
        <w:rPr>
          <w:szCs w:val="22"/>
          <w:lang w:val="cs-CZ"/>
        </w:rPr>
        <w:t xml:space="preserve"> </w:t>
      </w:r>
    </w:p>
    <w:p w14:paraId="50C7D7A0" w14:textId="16B5A546" w:rsidR="00FF6474" w:rsidRPr="004314F9" w:rsidRDefault="00A711ED" w:rsidP="004314F9">
      <w:pPr>
        <w:spacing w:after="0" w:line="240" w:lineRule="auto"/>
        <w:ind w:left="-5" w:right="2"/>
        <w:jc w:val="both"/>
        <w:rPr>
          <w:szCs w:val="22"/>
          <w:lang w:val="cs-CZ"/>
        </w:rPr>
      </w:pPr>
      <w:r w:rsidRPr="004314F9">
        <w:rPr>
          <w:szCs w:val="22"/>
          <w:u w:val="single" w:color="000000"/>
          <w:lang w:val="cs-CZ"/>
        </w:rPr>
        <w:t>Zvláštní upozornění</w:t>
      </w:r>
      <w:r w:rsidRPr="004314F9">
        <w:rPr>
          <w:szCs w:val="22"/>
          <w:lang w:val="cs-CZ"/>
        </w:rPr>
        <w:t>:</w:t>
      </w:r>
    </w:p>
    <w:p w14:paraId="32DF2E35" w14:textId="03749927" w:rsidR="00D67A75" w:rsidRPr="004314F9" w:rsidRDefault="00D67A75" w:rsidP="004314F9">
      <w:pPr>
        <w:pStyle w:val="Zkladntext"/>
        <w:ind w:right="2"/>
        <w:jc w:val="both"/>
        <w:rPr>
          <w:szCs w:val="22"/>
        </w:rPr>
      </w:pPr>
      <w:r w:rsidRPr="004314F9">
        <w:rPr>
          <w:szCs w:val="22"/>
        </w:rPr>
        <w:t>Během léčby je třeba zajistit dostatek pitné vody.</w:t>
      </w:r>
    </w:p>
    <w:p w14:paraId="1DA7FF73" w14:textId="51921BB0" w:rsidR="00FF6474" w:rsidRPr="004314F9" w:rsidRDefault="00FF6474" w:rsidP="004314F9">
      <w:pPr>
        <w:spacing w:after="0" w:line="240" w:lineRule="auto"/>
        <w:ind w:left="0" w:right="2" w:firstLine="0"/>
        <w:jc w:val="both"/>
        <w:rPr>
          <w:szCs w:val="22"/>
          <w:lang w:val="cs-CZ"/>
        </w:rPr>
      </w:pPr>
    </w:p>
    <w:p w14:paraId="16881E81" w14:textId="6D3CFDAF" w:rsidR="004827C8" w:rsidRPr="004314F9" w:rsidRDefault="00A711ED" w:rsidP="004314F9">
      <w:pPr>
        <w:spacing w:after="0" w:line="240" w:lineRule="auto"/>
        <w:ind w:left="-5" w:right="2"/>
        <w:jc w:val="both"/>
        <w:rPr>
          <w:szCs w:val="22"/>
          <w:lang w:val="cs-CZ"/>
        </w:rPr>
      </w:pPr>
      <w:r w:rsidRPr="004314F9">
        <w:rPr>
          <w:szCs w:val="22"/>
          <w:u w:val="single" w:color="000000"/>
          <w:lang w:val="cs-CZ"/>
        </w:rPr>
        <w:t>Zvláštní opatření pro bezpečné použití u cílových druhů zvířat</w:t>
      </w:r>
      <w:r w:rsidRPr="004314F9">
        <w:rPr>
          <w:szCs w:val="22"/>
          <w:lang w:val="cs-CZ"/>
        </w:rPr>
        <w:t>:</w:t>
      </w:r>
    </w:p>
    <w:p w14:paraId="09EDACB5" w14:textId="57DD1F1B" w:rsidR="000776EC" w:rsidRPr="004314F9" w:rsidRDefault="000776EC" w:rsidP="004314F9">
      <w:pPr>
        <w:spacing w:after="0" w:line="240" w:lineRule="auto"/>
        <w:ind w:left="-5" w:right="2"/>
        <w:jc w:val="both"/>
        <w:rPr>
          <w:szCs w:val="22"/>
          <w:lang w:val="cs-CZ"/>
        </w:rPr>
      </w:pPr>
      <w:r w:rsidRPr="004314F9">
        <w:rPr>
          <w:szCs w:val="22"/>
          <w:lang w:val="cs-CZ"/>
        </w:rPr>
        <w:t xml:space="preserve">Použití veterinárního léčivého přípravku by mělo být založeno na identifikaci a stanovení citlivosti cílového patogenu (patogenů). Pokud to není možné, měla by být terapie založena na </w:t>
      </w:r>
      <w:proofErr w:type="spellStart"/>
      <w:r w:rsidRPr="004314F9">
        <w:rPr>
          <w:szCs w:val="22"/>
          <w:lang w:val="cs-CZ"/>
        </w:rPr>
        <w:t>epizootologických</w:t>
      </w:r>
      <w:proofErr w:type="spellEnd"/>
      <w:r w:rsidRPr="004314F9">
        <w:rPr>
          <w:szCs w:val="22"/>
          <w:lang w:val="cs-CZ"/>
        </w:rPr>
        <w:t xml:space="preserve"> informacích a informaci o citlivosti cílových patogenů na úrovni chovu nebo na místní/regionální úrovni. Použití veterinárního léčivého přípravku by mělo být v souladu s oficiálními, národními a</w:t>
      </w:r>
      <w:r w:rsidR="00A56AFC" w:rsidRPr="004314F9">
        <w:rPr>
          <w:szCs w:val="22"/>
          <w:lang w:val="cs-CZ"/>
        </w:rPr>
        <w:t> </w:t>
      </w:r>
      <w:r w:rsidRPr="004314F9">
        <w:rPr>
          <w:szCs w:val="22"/>
          <w:lang w:val="cs-CZ"/>
        </w:rPr>
        <w:t>regionálními antimikrobními politikami.</w:t>
      </w:r>
    </w:p>
    <w:p w14:paraId="50FFAEF3" w14:textId="193C2ADB" w:rsidR="00FF6474" w:rsidRPr="004314F9" w:rsidRDefault="000776EC" w:rsidP="00382825">
      <w:pPr>
        <w:spacing w:after="0" w:line="240" w:lineRule="auto"/>
        <w:ind w:left="-5"/>
        <w:jc w:val="both"/>
        <w:rPr>
          <w:szCs w:val="22"/>
          <w:lang w:val="cs-CZ"/>
        </w:rPr>
      </w:pPr>
      <w:r w:rsidRPr="004314F9">
        <w:rPr>
          <w:szCs w:val="22"/>
          <w:lang w:val="cs-CZ"/>
        </w:rPr>
        <w:lastRenderedPageBreak/>
        <w:t>Použití veterinárního léčivého přípravku</w:t>
      </w:r>
      <w:r w:rsidR="004827C8" w:rsidRPr="004314F9">
        <w:rPr>
          <w:szCs w:val="22"/>
          <w:lang w:val="cs-CZ"/>
        </w:rPr>
        <w:t xml:space="preserve">, které je odlišné od pokynů uvedených v této příbalové informaci, může zvýšit prevalenci bakterií rezistentních ke kombinaci sulfadiazinu a trimethoprimu </w:t>
      </w:r>
      <w:r w:rsidR="00A56AFC" w:rsidRPr="004314F9">
        <w:rPr>
          <w:szCs w:val="22"/>
          <w:lang w:val="cs-CZ"/>
        </w:rPr>
        <w:t>a </w:t>
      </w:r>
      <w:r w:rsidR="004827C8" w:rsidRPr="004314F9">
        <w:rPr>
          <w:szCs w:val="22"/>
          <w:lang w:val="cs-CZ"/>
        </w:rPr>
        <w:t xml:space="preserve">snížit účinnost terapie ostatními sulfonamidy a </w:t>
      </w:r>
      <w:proofErr w:type="spellStart"/>
      <w:r w:rsidR="004827C8" w:rsidRPr="004314F9">
        <w:rPr>
          <w:szCs w:val="22"/>
          <w:lang w:val="cs-CZ"/>
        </w:rPr>
        <w:t>trimethoprimem</w:t>
      </w:r>
      <w:proofErr w:type="spellEnd"/>
      <w:r w:rsidR="004827C8" w:rsidRPr="004314F9">
        <w:rPr>
          <w:szCs w:val="22"/>
          <w:lang w:val="cs-CZ"/>
        </w:rPr>
        <w:t xml:space="preserve"> z důvodu možné zkřížené rezistence.</w:t>
      </w:r>
      <w:r w:rsidR="00A711ED" w:rsidRPr="004314F9">
        <w:rPr>
          <w:szCs w:val="22"/>
          <w:lang w:val="cs-CZ"/>
        </w:rPr>
        <w:t xml:space="preserve"> </w:t>
      </w:r>
    </w:p>
    <w:p w14:paraId="7BE787C0" w14:textId="77777777" w:rsidR="00FF6474" w:rsidRPr="004314F9" w:rsidRDefault="00A711ED" w:rsidP="00382825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4314F9">
        <w:rPr>
          <w:szCs w:val="22"/>
          <w:lang w:val="cs-CZ"/>
        </w:rPr>
        <w:t xml:space="preserve"> </w:t>
      </w:r>
    </w:p>
    <w:p w14:paraId="0CD9A286" w14:textId="3444DEA3" w:rsidR="004827C8" w:rsidRPr="004314F9" w:rsidRDefault="00A711ED" w:rsidP="00382825">
      <w:pPr>
        <w:spacing w:after="0" w:line="240" w:lineRule="auto"/>
        <w:ind w:left="-5"/>
        <w:jc w:val="both"/>
        <w:rPr>
          <w:szCs w:val="22"/>
          <w:lang w:val="cs-CZ"/>
        </w:rPr>
      </w:pPr>
      <w:r w:rsidRPr="004314F9">
        <w:rPr>
          <w:szCs w:val="22"/>
          <w:u w:val="single" w:color="000000"/>
          <w:lang w:val="cs-CZ"/>
        </w:rPr>
        <w:t>Zvláštní opatření pro osobu, která podává veterinární léčivý přípravek zvířatům</w:t>
      </w:r>
      <w:r w:rsidRPr="004314F9">
        <w:rPr>
          <w:szCs w:val="22"/>
          <w:lang w:val="cs-CZ"/>
        </w:rPr>
        <w:t>:</w:t>
      </w:r>
    </w:p>
    <w:p w14:paraId="6C4C5CF7" w14:textId="511DED34" w:rsidR="004827C8" w:rsidRPr="004314F9" w:rsidRDefault="0005775A" w:rsidP="00382825">
      <w:pPr>
        <w:spacing w:after="0" w:line="240" w:lineRule="auto"/>
        <w:jc w:val="both"/>
        <w:rPr>
          <w:b/>
          <w:szCs w:val="22"/>
          <w:lang w:val="cs-CZ"/>
        </w:rPr>
      </w:pPr>
      <w:r w:rsidRPr="004314F9">
        <w:rPr>
          <w:szCs w:val="22"/>
          <w:lang w:val="cs-CZ"/>
        </w:rPr>
        <w:t>Veterinární léčivý p</w:t>
      </w:r>
      <w:r w:rsidR="004827C8" w:rsidRPr="004314F9">
        <w:rPr>
          <w:szCs w:val="22"/>
          <w:lang w:val="cs-CZ"/>
        </w:rPr>
        <w:t>řípravek může vyvolat alergickou reakci u osob přecitlivělých na sulfonamidy. Lidé se známou přecitlivělostí na sulfonamidy by se měli vyhnout kontaktu s veterinárním léčivým přípravkem.</w:t>
      </w:r>
    </w:p>
    <w:p w14:paraId="489768E4" w14:textId="7F039FF1" w:rsidR="004827C8" w:rsidRPr="004314F9" w:rsidRDefault="004827C8" w:rsidP="0038282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szCs w:val="22"/>
          <w:lang w:val="cs-CZ"/>
        </w:rPr>
      </w:pPr>
      <w:r w:rsidRPr="004314F9">
        <w:rPr>
          <w:szCs w:val="22"/>
          <w:lang w:val="cs-CZ"/>
        </w:rPr>
        <w:t xml:space="preserve">Laboratorní studie u králíků a potkanů s pomocnou látkou </w:t>
      </w:r>
      <w:r w:rsidR="003E2F21">
        <w:rPr>
          <w:szCs w:val="22"/>
          <w:lang w:val="cs-CZ"/>
        </w:rPr>
        <w:t>N-</w:t>
      </w:r>
      <w:r w:rsidRPr="004314F9">
        <w:rPr>
          <w:szCs w:val="22"/>
          <w:lang w:val="cs-CZ"/>
        </w:rPr>
        <w:t>methyl</w:t>
      </w:r>
      <w:r w:rsidR="003E2F21">
        <w:rPr>
          <w:szCs w:val="22"/>
          <w:lang w:val="cs-CZ"/>
        </w:rPr>
        <w:t>-2-</w:t>
      </w:r>
      <w:r w:rsidRPr="004314F9">
        <w:rPr>
          <w:szCs w:val="22"/>
          <w:lang w:val="cs-CZ"/>
        </w:rPr>
        <w:t xml:space="preserve">pyrrolidon prokázaly </w:t>
      </w:r>
      <w:proofErr w:type="spellStart"/>
      <w:r w:rsidRPr="004314F9">
        <w:rPr>
          <w:szCs w:val="22"/>
          <w:lang w:val="cs-CZ"/>
        </w:rPr>
        <w:t>fetotoxický</w:t>
      </w:r>
      <w:proofErr w:type="spellEnd"/>
      <w:r w:rsidRPr="004314F9">
        <w:rPr>
          <w:szCs w:val="22"/>
          <w:lang w:val="cs-CZ"/>
        </w:rPr>
        <w:t xml:space="preserve"> účinek. Ženy ve fertilním věku, těhotné ženy nebo ženy s podezřením na těhotenství by měly veterinární léčivý přípravek používat s velkou obezřetností, aby se zabránilo náhodnému sebepoškození injekčně podaným přípravkem.</w:t>
      </w:r>
    </w:p>
    <w:p w14:paraId="739FC1BA" w14:textId="77777777" w:rsidR="004827C8" w:rsidRPr="004314F9" w:rsidRDefault="004827C8" w:rsidP="00382825">
      <w:pPr>
        <w:spacing w:after="0" w:line="240" w:lineRule="auto"/>
        <w:jc w:val="both"/>
        <w:rPr>
          <w:b/>
          <w:szCs w:val="22"/>
          <w:lang w:val="cs-CZ"/>
        </w:rPr>
      </w:pPr>
      <w:r w:rsidRPr="004314F9">
        <w:rPr>
          <w:szCs w:val="22"/>
          <w:lang w:val="cs-CZ"/>
        </w:rPr>
        <w:t xml:space="preserve">Pokud se u vás objeví </w:t>
      </w:r>
      <w:proofErr w:type="spellStart"/>
      <w:r w:rsidRPr="004314F9">
        <w:rPr>
          <w:szCs w:val="22"/>
          <w:lang w:val="cs-CZ"/>
        </w:rPr>
        <w:t>postexpoziční</w:t>
      </w:r>
      <w:proofErr w:type="spellEnd"/>
      <w:r w:rsidRPr="004314F9">
        <w:rPr>
          <w:szCs w:val="22"/>
          <w:lang w:val="cs-CZ"/>
        </w:rPr>
        <w:t xml:space="preserve"> příznaky, jako např. kožní vyrážka, vyhledejte lékařskou pomoc a ukažte příbalovou informaci nebo etiketu lékaři. Otok obličeje, rtů, očí nebo potíže s dýcháním jsou vážné příznaky a vyžadují okamžitou lékařskou pomoc.</w:t>
      </w:r>
    </w:p>
    <w:p w14:paraId="52D7E0AC" w14:textId="06E311EA" w:rsidR="004827C8" w:rsidRPr="004314F9" w:rsidRDefault="004827C8" w:rsidP="00382825">
      <w:pPr>
        <w:spacing w:after="0" w:line="240" w:lineRule="auto"/>
        <w:jc w:val="both"/>
        <w:rPr>
          <w:b/>
          <w:szCs w:val="22"/>
          <w:lang w:val="cs-CZ"/>
        </w:rPr>
      </w:pPr>
      <w:r w:rsidRPr="004314F9">
        <w:rPr>
          <w:szCs w:val="22"/>
          <w:lang w:val="cs-CZ"/>
        </w:rPr>
        <w:t xml:space="preserve">Tento </w:t>
      </w:r>
      <w:r w:rsidR="0005775A" w:rsidRPr="004314F9">
        <w:rPr>
          <w:szCs w:val="22"/>
          <w:lang w:val="cs-CZ"/>
        </w:rPr>
        <w:t xml:space="preserve">veterinární léčivý </w:t>
      </w:r>
      <w:r w:rsidRPr="004314F9">
        <w:rPr>
          <w:szCs w:val="22"/>
          <w:lang w:val="cs-CZ"/>
        </w:rPr>
        <w:t>přípravek může vyvolat podráždění kůže a očí. Zabraňte kontaktu s pokožkou a očima. V případě náhodného kontaktu s kůží nebo očima vypláchněte velkým množstvím čisté vody. Pokud příznaky přetrvávají, vyhledejte lékařskou pomoc.</w:t>
      </w:r>
    </w:p>
    <w:p w14:paraId="3ED31A19" w14:textId="1E55D6A6" w:rsidR="004827C8" w:rsidRPr="004314F9" w:rsidRDefault="004827C8" w:rsidP="00382825">
      <w:pPr>
        <w:spacing w:after="0" w:line="240" w:lineRule="auto"/>
        <w:jc w:val="both"/>
        <w:rPr>
          <w:b/>
          <w:szCs w:val="22"/>
          <w:lang w:val="cs-CZ"/>
        </w:rPr>
      </w:pPr>
      <w:r w:rsidRPr="004314F9">
        <w:rPr>
          <w:szCs w:val="22"/>
          <w:lang w:val="cs-CZ"/>
        </w:rPr>
        <w:t xml:space="preserve">V případě náhodného sebepoškození injekčně </w:t>
      </w:r>
      <w:r w:rsidR="0005775A" w:rsidRPr="004314F9">
        <w:rPr>
          <w:szCs w:val="22"/>
          <w:lang w:val="cs-CZ"/>
        </w:rPr>
        <w:t xml:space="preserve">podaným </w:t>
      </w:r>
      <w:r w:rsidRPr="004314F9">
        <w:rPr>
          <w:szCs w:val="22"/>
          <w:lang w:val="cs-CZ"/>
        </w:rPr>
        <w:t>přípravkem</w:t>
      </w:r>
      <w:r w:rsidR="005258FB" w:rsidRPr="004314F9">
        <w:rPr>
          <w:szCs w:val="22"/>
          <w:lang w:val="cs-CZ"/>
        </w:rPr>
        <w:t>,</w:t>
      </w:r>
      <w:r w:rsidRPr="004314F9">
        <w:rPr>
          <w:szCs w:val="22"/>
          <w:lang w:val="cs-CZ"/>
        </w:rPr>
        <w:t xml:space="preserve"> vyhledejte ihned lékařskou pomoc a ukažte příbalovou informaci nebo etiketu praktickému lékaři.</w:t>
      </w:r>
    </w:p>
    <w:p w14:paraId="7C4FCB08" w14:textId="775D096C" w:rsidR="00FF6474" w:rsidRPr="004314F9" w:rsidRDefault="004827C8" w:rsidP="00382825">
      <w:pPr>
        <w:spacing w:after="0" w:line="240" w:lineRule="auto"/>
        <w:jc w:val="both"/>
        <w:rPr>
          <w:b/>
          <w:szCs w:val="22"/>
          <w:lang w:val="cs-CZ"/>
        </w:rPr>
      </w:pPr>
      <w:r w:rsidRPr="004314F9">
        <w:rPr>
          <w:szCs w:val="22"/>
          <w:lang w:val="cs-CZ"/>
        </w:rPr>
        <w:t>Po použití si umyjte ruce.</w:t>
      </w:r>
      <w:r w:rsidR="00A711ED" w:rsidRPr="004314F9">
        <w:rPr>
          <w:szCs w:val="22"/>
          <w:lang w:val="cs-CZ"/>
        </w:rPr>
        <w:t xml:space="preserve"> </w:t>
      </w:r>
    </w:p>
    <w:p w14:paraId="3B38EC57" w14:textId="5218BE09" w:rsidR="00FF6474" w:rsidRPr="004314F9" w:rsidRDefault="00A711ED" w:rsidP="00382825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4314F9">
        <w:rPr>
          <w:szCs w:val="22"/>
          <w:lang w:val="cs-CZ"/>
        </w:rPr>
        <w:t xml:space="preserve"> </w:t>
      </w:r>
    </w:p>
    <w:p w14:paraId="10D345E8" w14:textId="5E186D47" w:rsidR="004827C8" w:rsidRPr="004314F9" w:rsidRDefault="00A711ED" w:rsidP="00382825">
      <w:pPr>
        <w:spacing w:after="0" w:line="240" w:lineRule="auto"/>
        <w:ind w:left="-5"/>
        <w:jc w:val="both"/>
        <w:rPr>
          <w:szCs w:val="22"/>
          <w:lang w:val="cs-CZ"/>
        </w:rPr>
      </w:pPr>
      <w:r w:rsidRPr="004314F9">
        <w:rPr>
          <w:szCs w:val="22"/>
          <w:u w:val="single" w:color="000000"/>
          <w:lang w:val="cs-CZ"/>
        </w:rPr>
        <w:t>Březost a laktace</w:t>
      </w:r>
      <w:r w:rsidRPr="004314F9">
        <w:rPr>
          <w:szCs w:val="22"/>
          <w:lang w:val="cs-CZ"/>
        </w:rPr>
        <w:t>:</w:t>
      </w:r>
    </w:p>
    <w:p w14:paraId="5AA856A2" w14:textId="6449284C" w:rsidR="00BD76B4" w:rsidRPr="004314F9" w:rsidRDefault="004827C8" w:rsidP="00382825">
      <w:pPr>
        <w:pStyle w:val="Zkladntext"/>
        <w:jc w:val="both"/>
        <w:rPr>
          <w:szCs w:val="22"/>
        </w:rPr>
      </w:pPr>
      <w:r w:rsidRPr="004314F9">
        <w:rPr>
          <w:szCs w:val="22"/>
        </w:rPr>
        <w:t>Nebyla stanovena bezpečnost veterinárního léčivého přípravku pro použití u skotu, koní, prasat, psů a koček během březost a laktace</w:t>
      </w:r>
      <w:r w:rsidR="00DD181D" w:rsidRPr="004314F9">
        <w:rPr>
          <w:szCs w:val="22"/>
        </w:rPr>
        <w:t>, a to ani u zvířat určených k plemenitbě</w:t>
      </w:r>
      <w:r w:rsidRPr="004314F9">
        <w:rPr>
          <w:szCs w:val="22"/>
        </w:rPr>
        <w:t>. Laboratorní studie u králíků a</w:t>
      </w:r>
      <w:r w:rsidR="004314F9" w:rsidRPr="004314F9">
        <w:rPr>
          <w:szCs w:val="22"/>
        </w:rPr>
        <w:t> </w:t>
      </w:r>
      <w:r w:rsidRPr="004314F9">
        <w:rPr>
          <w:szCs w:val="22"/>
        </w:rPr>
        <w:t>potkanů</w:t>
      </w:r>
      <w:r w:rsidR="00382825" w:rsidRPr="004314F9">
        <w:rPr>
          <w:szCs w:val="22"/>
        </w:rPr>
        <w:t xml:space="preserve"> </w:t>
      </w:r>
      <w:r w:rsidRPr="004314F9">
        <w:rPr>
          <w:szCs w:val="22"/>
        </w:rPr>
        <w:t>s</w:t>
      </w:r>
      <w:r w:rsidR="00382825" w:rsidRPr="004314F9">
        <w:rPr>
          <w:szCs w:val="22"/>
        </w:rPr>
        <w:t> </w:t>
      </w:r>
      <w:r w:rsidRPr="004314F9">
        <w:rPr>
          <w:szCs w:val="22"/>
        </w:rPr>
        <w:t xml:space="preserve">pomocnou látkou </w:t>
      </w:r>
      <w:r w:rsidR="00C6198D" w:rsidRPr="00C6198D">
        <w:rPr>
          <w:szCs w:val="22"/>
        </w:rPr>
        <w:t>N-methyl-2-pyrrolidon</w:t>
      </w:r>
      <w:r w:rsidRPr="004314F9">
        <w:rPr>
          <w:szCs w:val="22"/>
        </w:rPr>
        <w:t xml:space="preserve"> prokázaly </w:t>
      </w:r>
      <w:r w:rsidR="00BD76B4" w:rsidRPr="004314F9">
        <w:rPr>
          <w:szCs w:val="22"/>
        </w:rPr>
        <w:t xml:space="preserve">fetotoxické </w:t>
      </w:r>
      <w:r w:rsidRPr="004314F9">
        <w:rPr>
          <w:szCs w:val="22"/>
        </w:rPr>
        <w:t>účin</w:t>
      </w:r>
      <w:r w:rsidR="00BD76B4" w:rsidRPr="004314F9">
        <w:rPr>
          <w:szCs w:val="22"/>
        </w:rPr>
        <w:t>ky</w:t>
      </w:r>
      <w:r w:rsidRPr="004314F9">
        <w:rPr>
          <w:szCs w:val="22"/>
        </w:rPr>
        <w:t xml:space="preserve">. </w:t>
      </w:r>
    </w:p>
    <w:p w14:paraId="30B679BB" w14:textId="23A060A5" w:rsidR="004827C8" w:rsidRPr="004314F9" w:rsidRDefault="004827C8" w:rsidP="00382825">
      <w:pPr>
        <w:pStyle w:val="Zkladntext"/>
        <w:jc w:val="both"/>
        <w:rPr>
          <w:szCs w:val="22"/>
        </w:rPr>
      </w:pPr>
      <w:r w:rsidRPr="004314F9">
        <w:rPr>
          <w:szCs w:val="22"/>
        </w:rPr>
        <w:t>Použít pouze po zvážení terapeutického prospěchu a rizika příslušným veterinárním lékařem.</w:t>
      </w:r>
    </w:p>
    <w:p w14:paraId="69FC83E7" w14:textId="078FC350" w:rsidR="00FF6474" w:rsidRPr="004314F9" w:rsidRDefault="00A711ED" w:rsidP="00382825">
      <w:pPr>
        <w:spacing w:after="0" w:line="240" w:lineRule="auto"/>
        <w:ind w:left="-5"/>
        <w:jc w:val="both"/>
        <w:rPr>
          <w:szCs w:val="22"/>
          <w:lang w:val="cs-CZ"/>
        </w:rPr>
      </w:pPr>
      <w:r w:rsidRPr="004314F9">
        <w:rPr>
          <w:szCs w:val="22"/>
          <w:lang w:val="cs-CZ"/>
        </w:rPr>
        <w:t xml:space="preserve"> </w:t>
      </w:r>
    </w:p>
    <w:p w14:paraId="48A22B55" w14:textId="340C6316" w:rsidR="004827C8" w:rsidRPr="004314F9" w:rsidRDefault="00A711ED" w:rsidP="00382825">
      <w:pPr>
        <w:spacing w:after="0" w:line="240" w:lineRule="auto"/>
        <w:ind w:left="-5"/>
        <w:jc w:val="both"/>
        <w:rPr>
          <w:szCs w:val="22"/>
          <w:lang w:val="cs-CZ"/>
        </w:rPr>
      </w:pPr>
      <w:r w:rsidRPr="004314F9">
        <w:rPr>
          <w:szCs w:val="22"/>
          <w:u w:val="single" w:color="000000"/>
          <w:lang w:val="cs-CZ"/>
        </w:rPr>
        <w:t>Interakce s jinými léčivými přípravky a další formy interakce</w:t>
      </w:r>
      <w:r w:rsidRPr="004314F9">
        <w:rPr>
          <w:szCs w:val="22"/>
          <w:lang w:val="cs-CZ"/>
        </w:rPr>
        <w:t>:</w:t>
      </w:r>
    </w:p>
    <w:p w14:paraId="2A0F4464" w14:textId="77777777" w:rsidR="004827C8" w:rsidRPr="004314F9" w:rsidRDefault="004827C8" w:rsidP="00382825">
      <w:pPr>
        <w:spacing w:after="0" w:line="240" w:lineRule="auto"/>
        <w:jc w:val="both"/>
        <w:rPr>
          <w:b/>
          <w:szCs w:val="22"/>
          <w:lang w:val="cs-CZ" w:eastAsia="sv-SE"/>
        </w:rPr>
      </w:pPr>
      <w:proofErr w:type="spellStart"/>
      <w:r w:rsidRPr="004314F9">
        <w:rPr>
          <w:szCs w:val="22"/>
          <w:lang w:val="cs-CZ" w:eastAsia="sv-SE"/>
        </w:rPr>
        <w:t>Fenylbutazon</w:t>
      </w:r>
      <w:proofErr w:type="spellEnd"/>
      <w:r w:rsidRPr="004314F9">
        <w:rPr>
          <w:szCs w:val="22"/>
          <w:lang w:val="cs-CZ" w:eastAsia="sv-SE"/>
        </w:rPr>
        <w:t>, salicyláty a další slabé kyseliny zpomalují vylučování sulfonamidů ledvinami.</w:t>
      </w:r>
    </w:p>
    <w:p w14:paraId="26BF70B2" w14:textId="2BBD0148" w:rsidR="004827C8" w:rsidRPr="004314F9" w:rsidRDefault="004827C8" w:rsidP="00382825">
      <w:pPr>
        <w:spacing w:after="0" w:line="240" w:lineRule="auto"/>
        <w:jc w:val="both"/>
        <w:rPr>
          <w:b/>
          <w:szCs w:val="22"/>
          <w:lang w:val="cs-CZ" w:eastAsia="sv-SE"/>
        </w:rPr>
      </w:pPr>
      <w:r w:rsidRPr="004314F9">
        <w:rPr>
          <w:szCs w:val="22"/>
          <w:lang w:val="cs-CZ" w:eastAsia="sv-SE"/>
        </w:rPr>
        <w:t xml:space="preserve">Lokální anestetika ze skupiny esterů kyseliny p-aminobenzoové </w:t>
      </w:r>
      <w:r w:rsidR="00D94E7D">
        <w:rPr>
          <w:szCs w:val="22"/>
          <w:lang w:val="cs-CZ" w:eastAsia="sv-SE"/>
        </w:rPr>
        <w:t>snižují</w:t>
      </w:r>
      <w:r w:rsidRPr="004314F9">
        <w:rPr>
          <w:szCs w:val="22"/>
          <w:lang w:val="cs-CZ" w:eastAsia="sv-SE"/>
        </w:rPr>
        <w:t xml:space="preserve"> antibakteriální účinek. </w:t>
      </w:r>
    </w:p>
    <w:p w14:paraId="19531144" w14:textId="77777777" w:rsidR="004827C8" w:rsidRPr="004314F9" w:rsidRDefault="004827C8" w:rsidP="00382825">
      <w:pPr>
        <w:spacing w:after="0" w:line="240" w:lineRule="auto"/>
        <w:jc w:val="both"/>
        <w:rPr>
          <w:b/>
          <w:szCs w:val="22"/>
          <w:lang w:val="cs-CZ" w:eastAsia="sv-SE"/>
        </w:rPr>
      </w:pPr>
      <w:r w:rsidRPr="004314F9">
        <w:rPr>
          <w:szCs w:val="22"/>
          <w:lang w:val="cs-CZ" w:eastAsia="sv-SE"/>
        </w:rPr>
        <w:t xml:space="preserve">Je třeba se vyhnout současnému podávání antikoagulancií a </w:t>
      </w:r>
      <w:proofErr w:type="spellStart"/>
      <w:r w:rsidRPr="004314F9">
        <w:rPr>
          <w:szCs w:val="22"/>
          <w:lang w:val="cs-CZ" w:eastAsia="sv-SE"/>
        </w:rPr>
        <w:t>fenytoinu</w:t>
      </w:r>
      <w:proofErr w:type="spellEnd"/>
      <w:r w:rsidRPr="004314F9">
        <w:rPr>
          <w:szCs w:val="22"/>
          <w:lang w:val="cs-CZ" w:eastAsia="sv-SE"/>
        </w:rPr>
        <w:t>. Souběžné podání s </w:t>
      </w:r>
      <w:proofErr w:type="spellStart"/>
      <w:r w:rsidRPr="004314F9">
        <w:rPr>
          <w:szCs w:val="22"/>
          <w:lang w:val="cs-CZ" w:eastAsia="sv-SE"/>
        </w:rPr>
        <w:t>detomidinem</w:t>
      </w:r>
      <w:proofErr w:type="spellEnd"/>
      <w:r w:rsidRPr="004314F9">
        <w:rPr>
          <w:szCs w:val="22"/>
          <w:lang w:val="cs-CZ" w:eastAsia="sv-SE"/>
        </w:rPr>
        <w:t xml:space="preserve"> u koní může způsobit fatální srdeční arytmie.</w:t>
      </w:r>
    </w:p>
    <w:p w14:paraId="1ACB3571" w14:textId="77777777" w:rsidR="00BD76B4" w:rsidRPr="004314F9" w:rsidRDefault="004827C8" w:rsidP="00382825">
      <w:pPr>
        <w:spacing w:after="0" w:line="240" w:lineRule="auto"/>
        <w:jc w:val="both"/>
        <w:rPr>
          <w:szCs w:val="22"/>
          <w:lang w:val="cs-CZ" w:eastAsia="sv-SE"/>
        </w:rPr>
      </w:pPr>
      <w:proofErr w:type="spellStart"/>
      <w:r w:rsidRPr="004314F9">
        <w:rPr>
          <w:szCs w:val="22"/>
          <w:lang w:val="cs-CZ" w:eastAsia="sv-SE"/>
        </w:rPr>
        <w:t>Methenamin</w:t>
      </w:r>
      <w:proofErr w:type="spellEnd"/>
      <w:r w:rsidRPr="004314F9">
        <w:rPr>
          <w:szCs w:val="22"/>
          <w:lang w:val="cs-CZ" w:eastAsia="sv-SE"/>
        </w:rPr>
        <w:t xml:space="preserve"> (</w:t>
      </w:r>
      <w:proofErr w:type="spellStart"/>
      <w:r w:rsidRPr="004314F9">
        <w:rPr>
          <w:szCs w:val="22"/>
          <w:lang w:val="cs-CZ" w:eastAsia="sv-SE"/>
        </w:rPr>
        <w:t>hexamethylentetramin</w:t>
      </w:r>
      <w:proofErr w:type="spellEnd"/>
      <w:r w:rsidRPr="004314F9">
        <w:rPr>
          <w:szCs w:val="22"/>
          <w:lang w:val="cs-CZ" w:eastAsia="sv-SE"/>
        </w:rPr>
        <w:t xml:space="preserve">) může při souběžném podání vyvolat </w:t>
      </w:r>
      <w:proofErr w:type="spellStart"/>
      <w:r w:rsidRPr="004314F9">
        <w:rPr>
          <w:szCs w:val="22"/>
          <w:lang w:val="cs-CZ" w:eastAsia="sv-SE"/>
        </w:rPr>
        <w:t>krystalurii</w:t>
      </w:r>
      <w:proofErr w:type="spellEnd"/>
      <w:r w:rsidRPr="004314F9">
        <w:rPr>
          <w:szCs w:val="22"/>
          <w:lang w:val="cs-CZ" w:eastAsia="sv-SE"/>
        </w:rPr>
        <w:t xml:space="preserve">. </w:t>
      </w:r>
    </w:p>
    <w:p w14:paraId="175D2FE1" w14:textId="071063A4" w:rsidR="00FF6474" w:rsidRPr="004314F9" w:rsidRDefault="004827C8" w:rsidP="00382825">
      <w:pPr>
        <w:spacing w:after="0" w:line="240" w:lineRule="auto"/>
        <w:jc w:val="both"/>
        <w:rPr>
          <w:b/>
          <w:szCs w:val="22"/>
          <w:lang w:val="cs-CZ" w:eastAsia="sv-SE"/>
        </w:rPr>
      </w:pPr>
      <w:r w:rsidRPr="004314F9">
        <w:rPr>
          <w:szCs w:val="22"/>
          <w:lang w:val="cs-CZ" w:eastAsia="sv-SE"/>
        </w:rPr>
        <w:t>Trimethoprim a sulfonamidy by se neměly z důvodu antagonismu antibakteriálního účinku podávat souběžně s beta-laktamy a aminoglykosidy.</w:t>
      </w:r>
      <w:r w:rsidR="00A711ED" w:rsidRPr="004314F9">
        <w:rPr>
          <w:szCs w:val="22"/>
          <w:lang w:val="cs-CZ"/>
        </w:rPr>
        <w:t xml:space="preserve"> </w:t>
      </w:r>
    </w:p>
    <w:p w14:paraId="6D0280FC" w14:textId="77777777" w:rsidR="00FF6474" w:rsidRPr="004314F9" w:rsidRDefault="00A711ED" w:rsidP="00382825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4314F9">
        <w:rPr>
          <w:szCs w:val="22"/>
          <w:lang w:val="cs-CZ"/>
        </w:rPr>
        <w:t xml:space="preserve"> </w:t>
      </w:r>
      <w:bookmarkStart w:id="3" w:name="_GoBack"/>
      <w:bookmarkEnd w:id="3"/>
    </w:p>
    <w:p w14:paraId="56DBC21B" w14:textId="5A4205AD" w:rsidR="004827C8" w:rsidRPr="004314F9" w:rsidRDefault="00A711ED" w:rsidP="00382825">
      <w:pPr>
        <w:spacing w:after="0" w:line="240" w:lineRule="auto"/>
        <w:ind w:left="-5"/>
        <w:jc w:val="both"/>
        <w:rPr>
          <w:szCs w:val="22"/>
          <w:lang w:val="cs-CZ"/>
        </w:rPr>
      </w:pPr>
      <w:r w:rsidRPr="004314F9">
        <w:rPr>
          <w:szCs w:val="22"/>
          <w:u w:val="single" w:color="000000"/>
          <w:lang w:val="cs-CZ"/>
        </w:rPr>
        <w:t>Předávkování</w:t>
      </w:r>
      <w:r w:rsidRPr="004314F9">
        <w:rPr>
          <w:szCs w:val="22"/>
          <w:lang w:val="cs-CZ"/>
        </w:rPr>
        <w:t>:</w:t>
      </w:r>
    </w:p>
    <w:p w14:paraId="0AC72C78" w14:textId="24154FAE" w:rsidR="00BD76B4" w:rsidRPr="004314F9" w:rsidRDefault="00B336E2" w:rsidP="00BD76B4">
      <w:pPr>
        <w:spacing w:after="0" w:line="240" w:lineRule="auto"/>
        <w:ind w:left="-5"/>
        <w:jc w:val="both"/>
        <w:rPr>
          <w:bCs/>
          <w:szCs w:val="22"/>
          <w:lang w:val="cs-CZ"/>
        </w:rPr>
      </w:pPr>
      <w:r w:rsidRPr="004314F9">
        <w:rPr>
          <w:szCs w:val="22"/>
          <w:lang w:val="cs-CZ"/>
        </w:rPr>
        <w:t>Po absorpci velkého množství sulfonamidů jsou pozorovány jako hlavní příznaky:</w:t>
      </w:r>
      <w:r w:rsidR="00BD76B4" w:rsidRPr="004314F9">
        <w:rPr>
          <w:bCs/>
          <w:szCs w:val="22"/>
          <w:lang w:val="cs-CZ"/>
        </w:rPr>
        <w:t xml:space="preserve"> ataktické pohyby, svalové křeče a záškuby, případně až komatózní stavy a poškození jater. V případě neurologických příznaků lze jako symptomatickou léčbu podat centrálně tlumivé látky typu barbiturátů.</w:t>
      </w:r>
    </w:p>
    <w:p w14:paraId="1601B32A" w14:textId="77777777" w:rsidR="00BD76B4" w:rsidRPr="004314F9" w:rsidRDefault="00BD76B4" w:rsidP="00BD76B4">
      <w:pPr>
        <w:spacing w:after="0" w:line="240" w:lineRule="auto"/>
        <w:ind w:left="-5"/>
        <w:jc w:val="both"/>
        <w:rPr>
          <w:bCs/>
          <w:szCs w:val="22"/>
          <w:lang w:val="cs-CZ"/>
        </w:rPr>
      </w:pPr>
    </w:p>
    <w:p w14:paraId="5A43153E" w14:textId="4B88D0E1" w:rsidR="00BD76B4" w:rsidRPr="004314F9" w:rsidRDefault="00BD76B4" w:rsidP="00BD76B4">
      <w:pPr>
        <w:spacing w:after="0" w:line="240" w:lineRule="auto"/>
        <w:ind w:left="-5"/>
        <w:jc w:val="both"/>
        <w:rPr>
          <w:b/>
          <w:bCs/>
          <w:szCs w:val="22"/>
          <w:lang w:val="cs-CZ"/>
        </w:rPr>
      </w:pPr>
      <w:r w:rsidRPr="004314F9">
        <w:rPr>
          <w:bCs/>
          <w:szCs w:val="22"/>
          <w:lang w:val="cs-CZ"/>
        </w:rPr>
        <w:t xml:space="preserve">Kromě podání vitamínu K nebo kyseliny listové </w:t>
      </w:r>
      <w:r w:rsidR="00DD181D" w:rsidRPr="004314F9">
        <w:rPr>
          <w:bCs/>
          <w:szCs w:val="22"/>
          <w:lang w:val="cs-CZ"/>
        </w:rPr>
        <w:t>je</w:t>
      </w:r>
      <w:r w:rsidRPr="004314F9">
        <w:rPr>
          <w:bCs/>
          <w:szCs w:val="22"/>
          <w:lang w:val="cs-CZ"/>
        </w:rPr>
        <w:t xml:space="preserve"> ke zlepšení vylučování sulfonamidů ledvinami </w:t>
      </w:r>
      <w:r w:rsidR="00B336E2" w:rsidRPr="004314F9">
        <w:rPr>
          <w:szCs w:val="22"/>
          <w:lang w:val="cs-CZ"/>
        </w:rPr>
        <w:t>indikováno přidání</w:t>
      </w:r>
      <w:r w:rsidRPr="004314F9">
        <w:rPr>
          <w:bCs/>
          <w:szCs w:val="22"/>
          <w:lang w:val="cs-CZ"/>
        </w:rPr>
        <w:t xml:space="preserve"> alkalizační látky, jako je hydrogenuhličitan sodný.</w:t>
      </w:r>
    </w:p>
    <w:p w14:paraId="0E0B054C" w14:textId="7AB5EDDA" w:rsidR="00FF6474" w:rsidRPr="004314F9" w:rsidRDefault="00A711ED" w:rsidP="00382825">
      <w:pPr>
        <w:spacing w:after="0" w:line="240" w:lineRule="auto"/>
        <w:ind w:left="-5"/>
        <w:jc w:val="both"/>
        <w:rPr>
          <w:szCs w:val="22"/>
          <w:lang w:val="cs-CZ"/>
        </w:rPr>
      </w:pPr>
      <w:r w:rsidRPr="004314F9">
        <w:rPr>
          <w:szCs w:val="22"/>
          <w:lang w:val="cs-CZ"/>
        </w:rPr>
        <w:t xml:space="preserve"> </w:t>
      </w:r>
    </w:p>
    <w:p w14:paraId="57D6ED7B" w14:textId="687344B1" w:rsidR="00FF6474" w:rsidRPr="004314F9" w:rsidRDefault="00A711ED" w:rsidP="00382825">
      <w:pPr>
        <w:spacing w:after="0" w:line="240" w:lineRule="auto"/>
        <w:ind w:left="-5"/>
        <w:jc w:val="both"/>
        <w:rPr>
          <w:szCs w:val="22"/>
          <w:lang w:val="cs-CZ"/>
        </w:rPr>
      </w:pPr>
      <w:r w:rsidRPr="004314F9">
        <w:rPr>
          <w:szCs w:val="22"/>
          <w:u w:val="single" w:color="000000"/>
          <w:lang w:val="cs-CZ"/>
        </w:rPr>
        <w:t>Hlavní inkompatibility</w:t>
      </w:r>
      <w:r w:rsidRPr="004314F9">
        <w:rPr>
          <w:szCs w:val="22"/>
          <w:lang w:val="cs-CZ"/>
        </w:rPr>
        <w:t>:</w:t>
      </w:r>
    </w:p>
    <w:p w14:paraId="5A7D4E14" w14:textId="15D68CA4" w:rsidR="009D7A84" w:rsidRPr="004314F9" w:rsidRDefault="009D7A84" w:rsidP="00382825">
      <w:pPr>
        <w:spacing w:after="0" w:line="240" w:lineRule="auto"/>
        <w:ind w:left="-5"/>
        <w:jc w:val="both"/>
        <w:rPr>
          <w:szCs w:val="22"/>
          <w:lang w:val="cs-CZ"/>
        </w:rPr>
      </w:pPr>
      <w:r w:rsidRPr="004314F9">
        <w:rPr>
          <w:szCs w:val="22"/>
          <w:lang w:val="cs-CZ"/>
        </w:rPr>
        <w:t>Studie kompatibility nejsou k dispozici, a proto tento veterinární léčivý přípravek nesmí být mísen s</w:t>
      </w:r>
      <w:r w:rsidR="008A2F21" w:rsidRPr="004314F9">
        <w:rPr>
          <w:szCs w:val="22"/>
          <w:lang w:val="cs-CZ"/>
        </w:rPr>
        <w:t> </w:t>
      </w:r>
      <w:r w:rsidRPr="004314F9">
        <w:rPr>
          <w:szCs w:val="22"/>
          <w:lang w:val="cs-CZ"/>
        </w:rPr>
        <w:t>žádnými dalšími veterinárními léčivými přípravky.</w:t>
      </w:r>
    </w:p>
    <w:p w14:paraId="1120CC47" w14:textId="62DE3EDA" w:rsidR="00FF6474" w:rsidRPr="004314F9" w:rsidRDefault="00FF6474" w:rsidP="00382825">
      <w:pPr>
        <w:spacing w:after="0" w:line="240" w:lineRule="auto"/>
        <w:ind w:left="0" w:firstLine="0"/>
        <w:jc w:val="both"/>
        <w:rPr>
          <w:szCs w:val="22"/>
          <w:lang w:val="cs-CZ"/>
        </w:rPr>
      </w:pPr>
    </w:p>
    <w:p w14:paraId="324982B5" w14:textId="77777777" w:rsidR="00FF6474" w:rsidRPr="004314F9" w:rsidRDefault="00A711ED" w:rsidP="00382825">
      <w:pPr>
        <w:pStyle w:val="Nadpis3"/>
        <w:tabs>
          <w:tab w:val="center" w:pos="1402"/>
        </w:tabs>
        <w:spacing w:after="0" w:line="240" w:lineRule="auto"/>
        <w:ind w:left="-14" w:firstLine="0"/>
        <w:jc w:val="both"/>
        <w:rPr>
          <w:szCs w:val="22"/>
          <w:lang w:val="cs-CZ"/>
        </w:rPr>
      </w:pPr>
      <w:r w:rsidRPr="004314F9">
        <w:rPr>
          <w:szCs w:val="22"/>
          <w:shd w:val="clear" w:color="auto" w:fill="D3D3D3"/>
          <w:lang w:val="cs-CZ"/>
        </w:rPr>
        <w:t>7.</w:t>
      </w:r>
      <w:r w:rsidRPr="004314F9">
        <w:rPr>
          <w:szCs w:val="22"/>
          <w:lang w:val="cs-CZ"/>
        </w:rPr>
        <w:t xml:space="preserve"> </w:t>
      </w:r>
      <w:r w:rsidRPr="004314F9">
        <w:rPr>
          <w:szCs w:val="22"/>
          <w:lang w:val="cs-CZ"/>
        </w:rPr>
        <w:tab/>
        <w:t xml:space="preserve">Nežádoucí účinky </w:t>
      </w:r>
    </w:p>
    <w:p w14:paraId="49281519" w14:textId="77777777" w:rsidR="00FF6474" w:rsidRPr="004314F9" w:rsidRDefault="00A711ED" w:rsidP="00382825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4314F9">
        <w:rPr>
          <w:szCs w:val="22"/>
          <w:lang w:val="cs-CZ"/>
        </w:rPr>
        <w:t xml:space="preserve"> </w:t>
      </w:r>
    </w:p>
    <w:p w14:paraId="4A623001" w14:textId="339CDE4E" w:rsidR="004827C8" w:rsidRPr="004314F9" w:rsidRDefault="004827C8" w:rsidP="00382825">
      <w:pPr>
        <w:pStyle w:val="xxelementtoproof"/>
        <w:shd w:val="clear" w:color="auto" w:fill="FFFFFF"/>
        <w:jc w:val="both"/>
        <w:rPr>
          <w:rFonts w:ascii="Times New Roman" w:hAnsi="Times New Roman" w:cs="Times New Roman"/>
        </w:rPr>
      </w:pPr>
      <w:r w:rsidRPr="004314F9">
        <w:rPr>
          <w:rFonts w:ascii="Times New Roman" w:hAnsi="Times New Roman" w:cs="Times New Roman"/>
        </w:rPr>
        <w:t xml:space="preserve">Cílové druhy zvířat: </w:t>
      </w:r>
      <w:r w:rsidRPr="004314F9">
        <w:rPr>
          <w:rFonts w:ascii="Times New Roman" w:hAnsi="Times New Roman" w:cs="Times New Roman"/>
          <w:color w:val="000000"/>
        </w:rPr>
        <w:t>Skot, koně, prasata, psi, kočky.</w:t>
      </w:r>
    </w:p>
    <w:p w14:paraId="33D88602" w14:textId="77777777" w:rsidR="004827C8" w:rsidRPr="008A558B" w:rsidRDefault="004827C8" w:rsidP="008A558B">
      <w:pPr>
        <w:spacing w:after="0" w:line="240" w:lineRule="auto"/>
        <w:ind w:left="0" w:firstLine="0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118" w:type="dxa"/>
          <w:left w:w="105" w:type="dxa"/>
          <w:right w:w="226" w:type="dxa"/>
        </w:tblCellMar>
        <w:tblLook w:val="04A0" w:firstRow="1" w:lastRow="0" w:firstColumn="1" w:lastColumn="0" w:noHBand="0" w:noVBand="1"/>
      </w:tblPr>
      <w:tblGrid>
        <w:gridCol w:w="3547"/>
        <w:gridCol w:w="5515"/>
      </w:tblGrid>
      <w:tr w:rsidR="004827C8" w:rsidRPr="008A558B" w14:paraId="1281A588" w14:textId="77777777" w:rsidTr="008641D2">
        <w:trPr>
          <w:trHeight w:val="1030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C6EE" w14:textId="77777777" w:rsidR="004827C8" w:rsidRPr="008A558B" w:rsidRDefault="004827C8" w:rsidP="008A558B">
            <w:pPr>
              <w:spacing w:after="0" w:line="240" w:lineRule="auto"/>
              <w:ind w:left="3" w:firstLine="0"/>
              <w:rPr>
                <w:szCs w:val="22"/>
                <w:lang w:val="cs-CZ"/>
              </w:rPr>
            </w:pPr>
            <w:r w:rsidRPr="008A558B">
              <w:rPr>
                <w:szCs w:val="22"/>
                <w:lang w:val="cs-CZ"/>
              </w:rPr>
              <w:lastRenderedPageBreak/>
              <w:t xml:space="preserve">Velmi vzácné </w:t>
            </w:r>
          </w:p>
          <w:p w14:paraId="6A7167E2" w14:textId="77777777" w:rsidR="004827C8" w:rsidRPr="008A558B" w:rsidRDefault="004827C8" w:rsidP="008A558B">
            <w:pPr>
              <w:spacing w:after="0" w:line="240" w:lineRule="auto"/>
              <w:ind w:left="3" w:firstLine="0"/>
              <w:jc w:val="both"/>
              <w:rPr>
                <w:szCs w:val="22"/>
                <w:lang w:val="cs-CZ"/>
              </w:rPr>
            </w:pPr>
            <w:r w:rsidRPr="008A558B">
              <w:rPr>
                <w:color w:val="auto"/>
                <w:szCs w:val="22"/>
                <w:lang w:val="cs-CZ"/>
              </w:rPr>
              <w:t xml:space="preserve">(&lt;1 </w:t>
            </w:r>
            <w:r w:rsidRPr="008A558B">
              <w:rPr>
                <w:szCs w:val="22"/>
                <w:lang w:val="cs-CZ"/>
              </w:rPr>
              <w:t xml:space="preserve">zvíře / 10 000 ošetřených zvířat, včetně ojedinělých hlášení): 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B37A0" w14:textId="77777777" w:rsidR="004827C8" w:rsidRPr="008A558B" w:rsidRDefault="004827C8" w:rsidP="008A558B">
            <w:pPr>
              <w:spacing w:after="0" w:line="240" w:lineRule="auto"/>
              <w:ind w:left="0" w:firstLine="0"/>
              <w:rPr>
                <w:szCs w:val="22"/>
                <w:lang w:val="cs-CZ"/>
              </w:rPr>
            </w:pPr>
            <w:r w:rsidRPr="008A558B">
              <w:rPr>
                <w:szCs w:val="22"/>
                <w:lang w:val="cs-CZ"/>
              </w:rPr>
              <w:t>Anafylaktický šok</w:t>
            </w:r>
            <w:r w:rsidRPr="008A558B">
              <w:rPr>
                <w:szCs w:val="22"/>
                <w:vertAlign w:val="superscript"/>
                <w:lang w:val="cs-CZ"/>
              </w:rPr>
              <w:t>1</w:t>
            </w:r>
            <w:r w:rsidRPr="008A558B">
              <w:rPr>
                <w:szCs w:val="22"/>
                <w:lang w:val="cs-CZ"/>
              </w:rPr>
              <w:t xml:space="preserve"> </w:t>
            </w:r>
          </w:p>
        </w:tc>
      </w:tr>
    </w:tbl>
    <w:p w14:paraId="12B812EC" w14:textId="77777777" w:rsidR="004827C8" w:rsidRPr="008A558B" w:rsidRDefault="004827C8" w:rsidP="008A558B">
      <w:pPr>
        <w:spacing w:after="0" w:line="240" w:lineRule="auto"/>
        <w:ind w:left="0" w:firstLine="0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  <w:r w:rsidRPr="008A558B">
        <w:rPr>
          <w:szCs w:val="22"/>
          <w:vertAlign w:val="superscript"/>
          <w:lang w:val="cs-CZ"/>
        </w:rPr>
        <w:t xml:space="preserve">1 </w:t>
      </w:r>
      <w:r w:rsidRPr="008A558B">
        <w:rPr>
          <w:szCs w:val="22"/>
          <w:lang w:val="cs-CZ"/>
        </w:rPr>
        <w:t xml:space="preserve">Aby se tomu předešlo, intravenózní podání musí být velmi pomalé. </w:t>
      </w:r>
    </w:p>
    <w:p w14:paraId="14397B0C" w14:textId="77777777" w:rsidR="00FF6474" w:rsidRPr="008A558B" w:rsidRDefault="00A711ED" w:rsidP="00421879">
      <w:pPr>
        <w:spacing w:after="0" w:line="240" w:lineRule="auto"/>
        <w:ind w:left="0" w:firstLine="0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177AA5CF" w14:textId="47F7C62C" w:rsidR="008A2F21" w:rsidRPr="008A558B" w:rsidRDefault="00A711ED" w:rsidP="004314F9">
      <w:pPr>
        <w:tabs>
          <w:tab w:val="left" w:pos="-720"/>
        </w:tabs>
        <w:suppressAutoHyphens/>
        <w:spacing w:after="0" w:line="240" w:lineRule="auto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Hlášení nežádoucích účinků je důležité. Umožňuje nepřetržité sledování bezpečnosti přípravku. Jestliže zaznamenáte jakékoliv nežádoucí účinky, a to i takové, které nejsou uvedeny v této příbalové informaci, nebo si myslíte, že léčivo nefunguje, obraťte se prosím nejprve na svého veterinárního lékaře. Nežádoucí účinky můžete hlásit také </w:t>
      </w:r>
      <w:r w:rsidRPr="008A558B">
        <w:rPr>
          <w:color w:val="auto"/>
          <w:szCs w:val="22"/>
          <w:lang w:val="cs-CZ"/>
        </w:rPr>
        <w:t>držitel</w:t>
      </w:r>
      <w:r w:rsidRPr="008A558B">
        <w:rPr>
          <w:color w:val="auto"/>
          <w:szCs w:val="22"/>
          <w:u w:color="CC3595"/>
          <w:lang w:val="cs-CZ"/>
        </w:rPr>
        <w:t>i</w:t>
      </w:r>
      <w:r w:rsidRPr="008A558B">
        <w:rPr>
          <w:color w:val="auto"/>
          <w:szCs w:val="22"/>
          <w:lang w:val="cs-CZ"/>
        </w:rPr>
        <w:t xml:space="preserve"> </w:t>
      </w:r>
      <w:r w:rsidRPr="008A558B">
        <w:rPr>
          <w:szCs w:val="22"/>
          <w:lang w:val="cs-CZ"/>
        </w:rPr>
        <w:t>rozhodnutí o registraci</w:t>
      </w:r>
      <w:r w:rsidR="0086698D">
        <w:rPr>
          <w:szCs w:val="22"/>
          <w:lang w:val="cs-CZ"/>
        </w:rPr>
        <w:t>,</w:t>
      </w:r>
      <w:r w:rsidRPr="008A558B">
        <w:rPr>
          <w:szCs w:val="22"/>
          <w:lang w:val="cs-CZ"/>
        </w:rPr>
        <w:t xml:space="preserve"> nebo</w:t>
      </w:r>
      <w:r w:rsidR="004A6D49" w:rsidRPr="008A558B">
        <w:rPr>
          <w:szCs w:val="22"/>
          <w:lang w:val="cs-CZ"/>
        </w:rPr>
        <w:t xml:space="preserve"> jeho</w:t>
      </w:r>
      <w:r w:rsidRPr="008A558B">
        <w:rPr>
          <w:color w:val="CC3595"/>
          <w:szCs w:val="22"/>
          <w:u w:val="single" w:color="CC3595"/>
          <w:lang w:val="cs-CZ"/>
        </w:rPr>
        <w:t xml:space="preserve"> </w:t>
      </w:r>
      <w:r w:rsidRPr="008A558B">
        <w:rPr>
          <w:szCs w:val="22"/>
          <w:lang w:val="cs-CZ"/>
        </w:rPr>
        <w:t>místní</w:t>
      </w:r>
      <w:r w:rsidR="004A6D49" w:rsidRPr="008A558B">
        <w:rPr>
          <w:szCs w:val="22"/>
          <w:lang w:val="cs-CZ"/>
        </w:rPr>
        <w:t>mu</w:t>
      </w:r>
      <w:r w:rsidRPr="008A558B">
        <w:rPr>
          <w:szCs w:val="22"/>
          <w:lang w:val="cs-CZ"/>
        </w:rPr>
        <w:t xml:space="preserve"> zástupc</w:t>
      </w:r>
      <w:r w:rsidR="004A6D49" w:rsidRPr="008A558B">
        <w:rPr>
          <w:szCs w:val="22"/>
          <w:lang w:val="cs-CZ"/>
        </w:rPr>
        <w:t>i</w:t>
      </w:r>
      <w:r w:rsidRPr="008A558B">
        <w:rPr>
          <w:szCs w:val="22"/>
          <w:lang w:val="cs-CZ"/>
        </w:rPr>
        <w:t xml:space="preserve"> s využitím kontaktních údajů uvedených na konci této příbalové informace</w:t>
      </w:r>
      <w:r w:rsidR="0086698D">
        <w:rPr>
          <w:szCs w:val="22"/>
          <w:lang w:val="cs-CZ"/>
        </w:rPr>
        <w:t>,</w:t>
      </w:r>
      <w:r w:rsidRPr="008A558B">
        <w:rPr>
          <w:szCs w:val="22"/>
          <w:lang w:val="cs-CZ"/>
        </w:rPr>
        <w:t xml:space="preserve"> nebo prostřednictvím národního systému hlášení nežádoucích účinků:</w:t>
      </w:r>
      <w:r w:rsidR="004827C8" w:rsidRPr="008A558B">
        <w:rPr>
          <w:szCs w:val="22"/>
          <w:lang w:val="cs-CZ"/>
        </w:rPr>
        <w:t xml:space="preserve"> </w:t>
      </w:r>
    </w:p>
    <w:p w14:paraId="7AD8D72F" w14:textId="77777777" w:rsidR="00333E95" w:rsidRPr="008A558B" w:rsidRDefault="00333E95" w:rsidP="004314F9">
      <w:pPr>
        <w:spacing w:after="0" w:line="240" w:lineRule="auto"/>
        <w:ind w:left="0" w:firstLine="0"/>
        <w:jc w:val="both"/>
        <w:rPr>
          <w:szCs w:val="22"/>
          <w:lang w:val="cs-CZ"/>
        </w:rPr>
      </w:pPr>
    </w:p>
    <w:p w14:paraId="6A34178C" w14:textId="77777777" w:rsidR="00333E95" w:rsidRPr="008A558B" w:rsidRDefault="00333E95" w:rsidP="004314F9">
      <w:pPr>
        <w:tabs>
          <w:tab w:val="left" w:pos="-720"/>
        </w:tabs>
        <w:suppressAutoHyphens/>
        <w:spacing w:after="0" w:line="240" w:lineRule="auto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Ústav pro státní kontrolu veterinárních biopreparátů a léčiv </w:t>
      </w:r>
    </w:p>
    <w:p w14:paraId="6B7849EC" w14:textId="077A5C75" w:rsidR="00333E95" w:rsidRPr="008A558B" w:rsidRDefault="00333E95" w:rsidP="004314F9">
      <w:pPr>
        <w:tabs>
          <w:tab w:val="left" w:pos="-720"/>
        </w:tabs>
        <w:suppressAutoHyphens/>
        <w:spacing w:after="0" w:line="240" w:lineRule="auto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Hudcova </w:t>
      </w:r>
      <w:r w:rsidR="00011C52">
        <w:rPr>
          <w:szCs w:val="22"/>
          <w:lang w:val="cs-CZ"/>
        </w:rPr>
        <w:t>232/</w:t>
      </w:r>
      <w:proofErr w:type="gramStart"/>
      <w:r w:rsidRPr="008A558B">
        <w:rPr>
          <w:szCs w:val="22"/>
          <w:lang w:val="cs-CZ"/>
        </w:rPr>
        <w:t>56a</w:t>
      </w:r>
      <w:proofErr w:type="gramEnd"/>
      <w:r w:rsidRPr="008A558B">
        <w:rPr>
          <w:szCs w:val="22"/>
          <w:lang w:val="cs-CZ"/>
        </w:rPr>
        <w:t xml:space="preserve"> </w:t>
      </w:r>
    </w:p>
    <w:p w14:paraId="00B8CA70" w14:textId="77777777" w:rsidR="00333E95" w:rsidRPr="008A558B" w:rsidRDefault="00333E95" w:rsidP="004314F9">
      <w:pPr>
        <w:tabs>
          <w:tab w:val="left" w:pos="-720"/>
        </w:tabs>
        <w:suppressAutoHyphens/>
        <w:spacing w:after="0" w:line="240" w:lineRule="auto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>621 00 Brno</w:t>
      </w:r>
    </w:p>
    <w:p w14:paraId="4C3AED26" w14:textId="7C399924" w:rsidR="00333E95" w:rsidRDefault="0086698D" w:rsidP="004314F9">
      <w:pPr>
        <w:tabs>
          <w:tab w:val="left" w:pos="-720"/>
        </w:tabs>
        <w:suppressAutoHyphens/>
        <w:spacing w:after="0" w:line="240" w:lineRule="auto"/>
        <w:jc w:val="both"/>
        <w:rPr>
          <w:rStyle w:val="Hypertextovodkaz"/>
          <w:szCs w:val="22"/>
          <w:lang w:val="cs-CZ"/>
        </w:rPr>
      </w:pPr>
      <w:r>
        <w:rPr>
          <w:szCs w:val="22"/>
          <w:lang w:val="cs-CZ"/>
        </w:rPr>
        <w:t>E-m</w:t>
      </w:r>
      <w:r w:rsidR="00333E95" w:rsidRPr="008A558B">
        <w:rPr>
          <w:szCs w:val="22"/>
          <w:lang w:val="cs-CZ"/>
        </w:rPr>
        <w:t xml:space="preserve">ail: </w:t>
      </w:r>
      <w:hyperlink r:id="rId10" w:history="1">
        <w:r w:rsidR="00333E95" w:rsidRPr="008A558B">
          <w:rPr>
            <w:rStyle w:val="Hypertextovodkaz"/>
            <w:szCs w:val="22"/>
            <w:lang w:val="cs-CZ"/>
          </w:rPr>
          <w:t>adr@uskvbl.cz</w:t>
        </w:r>
      </w:hyperlink>
      <w:r>
        <w:rPr>
          <w:rStyle w:val="Hypertextovodkaz"/>
          <w:szCs w:val="22"/>
          <w:lang w:val="cs-CZ"/>
        </w:rPr>
        <w:t xml:space="preserve"> </w:t>
      </w:r>
    </w:p>
    <w:p w14:paraId="5B3B4F71" w14:textId="3132FFCB" w:rsidR="0086698D" w:rsidRDefault="0086698D" w:rsidP="004314F9">
      <w:pPr>
        <w:spacing w:after="0" w:line="240" w:lineRule="auto"/>
        <w:rPr>
          <w:color w:val="auto"/>
        </w:rPr>
      </w:pPr>
      <w:r>
        <w:t>Tel.: +420 720 940 693</w:t>
      </w:r>
    </w:p>
    <w:p w14:paraId="0BA8A912" w14:textId="77777777" w:rsidR="00333E95" w:rsidRPr="008A558B" w:rsidRDefault="00333E95" w:rsidP="004314F9">
      <w:pPr>
        <w:tabs>
          <w:tab w:val="left" w:pos="-720"/>
        </w:tabs>
        <w:suppressAutoHyphens/>
        <w:spacing w:after="0" w:line="240" w:lineRule="auto"/>
        <w:ind w:left="0" w:firstLine="0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Webové stránky: </w:t>
      </w:r>
      <w:hyperlink r:id="rId11" w:history="1">
        <w:r w:rsidRPr="008A558B">
          <w:rPr>
            <w:rStyle w:val="Hypertextovodkaz"/>
            <w:szCs w:val="22"/>
            <w:lang w:val="cs-CZ"/>
          </w:rPr>
          <w:t>http://www.uskvbl.cz/cs/farmakovigilance</w:t>
        </w:r>
      </w:hyperlink>
    </w:p>
    <w:p w14:paraId="66488931" w14:textId="3F50FF79" w:rsidR="00FF6474" w:rsidRPr="008A558B" w:rsidRDefault="00FF6474" w:rsidP="004314F9">
      <w:pPr>
        <w:spacing w:after="0" w:line="240" w:lineRule="auto"/>
        <w:ind w:left="0" w:firstLine="0"/>
        <w:jc w:val="both"/>
        <w:rPr>
          <w:szCs w:val="22"/>
          <w:lang w:val="cs-CZ"/>
        </w:rPr>
      </w:pPr>
    </w:p>
    <w:p w14:paraId="07C4009C" w14:textId="77777777" w:rsidR="00FF6474" w:rsidRPr="008A558B" w:rsidRDefault="00A711ED" w:rsidP="004314F9">
      <w:pPr>
        <w:tabs>
          <w:tab w:val="center" w:pos="2915"/>
        </w:tabs>
        <w:spacing w:after="0" w:line="240" w:lineRule="auto"/>
        <w:ind w:left="-14" w:firstLine="0"/>
        <w:jc w:val="both"/>
        <w:rPr>
          <w:szCs w:val="22"/>
          <w:lang w:val="cs-CZ"/>
        </w:rPr>
      </w:pPr>
      <w:r w:rsidRPr="008A558B">
        <w:rPr>
          <w:b/>
          <w:szCs w:val="22"/>
          <w:shd w:val="clear" w:color="auto" w:fill="D3D3D3"/>
          <w:lang w:val="cs-CZ"/>
        </w:rPr>
        <w:t>8.</w:t>
      </w:r>
      <w:r w:rsidRPr="008A558B">
        <w:rPr>
          <w:b/>
          <w:szCs w:val="22"/>
          <w:lang w:val="cs-CZ"/>
        </w:rPr>
        <w:t xml:space="preserve"> </w:t>
      </w:r>
      <w:r w:rsidRPr="008A558B">
        <w:rPr>
          <w:b/>
          <w:szCs w:val="22"/>
          <w:lang w:val="cs-CZ"/>
        </w:rPr>
        <w:tab/>
        <w:t xml:space="preserve">Dávkování pro každý druh, cesty a způsob podání </w:t>
      </w:r>
    </w:p>
    <w:p w14:paraId="0558120E" w14:textId="77777777" w:rsidR="00FF6474" w:rsidRPr="008A558B" w:rsidRDefault="00A711ED" w:rsidP="004314F9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59683E75" w14:textId="48B4F376" w:rsidR="00333E95" w:rsidRPr="008A558B" w:rsidRDefault="00333E95" w:rsidP="004314F9">
      <w:pPr>
        <w:spacing w:after="0" w:line="240" w:lineRule="auto"/>
        <w:jc w:val="both"/>
        <w:rPr>
          <w:b/>
          <w:szCs w:val="22"/>
          <w:lang w:val="cs-CZ"/>
        </w:rPr>
      </w:pPr>
      <w:r w:rsidRPr="008A558B">
        <w:rPr>
          <w:szCs w:val="22"/>
          <w:lang w:val="cs-CZ"/>
        </w:rPr>
        <w:t>Intravenózní, intramuskulární nebo subkutánní</w:t>
      </w:r>
      <w:r w:rsidRPr="008A558B" w:rsidDel="000376D7">
        <w:rPr>
          <w:szCs w:val="22"/>
          <w:lang w:val="cs-CZ"/>
        </w:rPr>
        <w:t xml:space="preserve"> </w:t>
      </w:r>
      <w:r w:rsidRPr="008A558B">
        <w:rPr>
          <w:szCs w:val="22"/>
          <w:lang w:val="cs-CZ"/>
        </w:rPr>
        <w:t>podání.</w:t>
      </w:r>
    </w:p>
    <w:p w14:paraId="0F30E1FA" w14:textId="77777777" w:rsidR="00333E95" w:rsidRPr="008A558B" w:rsidRDefault="00333E95" w:rsidP="004314F9">
      <w:pPr>
        <w:spacing w:after="0" w:line="240" w:lineRule="auto"/>
        <w:jc w:val="both"/>
        <w:rPr>
          <w:b/>
          <w:szCs w:val="22"/>
          <w:lang w:val="cs-CZ"/>
        </w:rPr>
      </w:pPr>
    </w:p>
    <w:p w14:paraId="00DCCD02" w14:textId="77777777" w:rsidR="00BD76B4" w:rsidRPr="00BD76B4" w:rsidRDefault="00BD76B4" w:rsidP="004314F9">
      <w:pPr>
        <w:spacing w:after="0" w:line="240" w:lineRule="auto"/>
        <w:jc w:val="both"/>
        <w:rPr>
          <w:szCs w:val="22"/>
          <w:lang w:val="cs-CZ"/>
        </w:rPr>
      </w:pPr>
      <w:r w:rsidRPr="00BD76B4">
        <w:rPr>
          <w:szCs w:val="22"/>
          <w:lang w:val="cs-CZ"/>
        </w:rPr>
        <w:t>Skot a prasata: intramuskulární nebo intravenózní podání.</w:t>
      </w:r>
    </w:p>
    <w:p w14:paraId="31B1874A" w14:textId="77777777" w:rsidR="00BD76B4" w:rsidRPr="00BD76B4" w:rsidRDefault="00BD76B4" w:rsidP="004314F9">
      <w:pPr>
        <w:spacing w:after="0" w:line="240" w:lineRule="auto"/>
        <w:jc w:val="both"/>
        <w:rPr>
          <w:szCs w:val="22"/>
          <w:lang w:val="cs-CZ"/>
        </w:rPr>
      </w:pPr>
      <w:r w:rsidRPr="00BD76B4">
        <w:rPr>
          <w:szCs w:val="22"/>
          <w:lang w:val="cs-CZ"/>
        </w:rPr>
        <w:t>Koně: intravenózní podání.</w:t>
      </w:r>
    </w:p>
    <w:p w14:paraId="029FF941" w14:textId="77777777" w:rsidR="00BD76B4" w:rsidRPr="00BD76B4" w:rsidRDefault="00BD76B4" w:rsidP="004314F9">
      <w:pPr>
        <w:spacing w:after="0" w:line="240" w:lineRule="auto"/>
        <w:jc w:val="both"/>
        <w:rPr>
          <w:szCs w:val="22"/>
          <w:lang w:val="cs-CZ"/>
        </w:rPr>
      </w:pPr>
      <w:r w:rsidRPr="00BD76B4">
        <w:rPr>
          <w:szCs w:val="22"/>
          <w:lang w:val="cs-CZ"/>
        </w:rPr>
        <w:t>Psi a kočky: subkutánní podání.</w:t>
      </w:r>
    </w:p>
    <w:p w14:paraId="4E29E9A6" w14:textId="77777777" w:rsidR="00BD76B4" w:rsidRPr="00BD76B4" w:rsidRDefault="00BD76B4" w:rsidP="004314F9">
      <w:pPr>
        <w:spacing w:after="0" w:line="240" w:lineRule="auto"/>
        <w:jc w:val="both"/>
        <w:rPr>
          <w:b/>
          <w:szCs w:val="22"/>
          <w:lang w:val="cs-CZ"/>
        </w:rPr>
      </w:pPr>
    </w:p>
    <w:p w14:paraId="38F55BE3" w14:textId="77777777" w:rsidR="00BD76B4" w:rsidRPr="00BD76B4" w:rsidRDefault="00BD76B4" w:rsidP="004314F9">
      <w:pPr>
        <w:spacing w:after="0" w:line="240" w:lineRule="auto"/>
        <w:jc w:val="both"/>
        <w:rPr>
          <w:b/>
          <w:szCs w:val="22"/>
          <w:lang w:val="cs-CZ"/>
        </w:rPr>
      </w:pPr>
      <w:r w:rsidRPr="00BD76B4">
        <w:rPr>
          <w:szCs w:val="22"/>
          <w:lang w:val="cs-CZ"/>
        </w:rPr>
        <w:t>Intravenózně podávat pomalu.</w:t>
      </w:r>
    </w:p>
    <w:p w14:paraId="530AC943" w14:textId="77777777" w:rsidR="00333E95" w:rsidRPr="008A558B" w:rsidRDefault="00333E95" w:rsidP="004314F9">
      <w:pPr>
        <w:spacing w:after="0" w:line="240" w:lineRule="auto"/>
        <w:jc w:val="both"/>
        <w:rPr>
          <w:b/>
          <w:szCs w:val="22"/>
          <w:u w:val="single"/>
          <w:lang w:val="cs-CZ"/>
        </w:rPr>
      </w:pPr>
    </w:p>
    <w:p w14:paraId="5FD7E415" w14:textId="77777777" w:rsidR="00333E95" w:rsidRPr="008A558B" w:rsidRDefault="00333E95" w:rsidP="004314F9">
      <w:pPr>
        <w:spacing w:after="0" w:line="240" w:lineRule="auto"/>
        <w:jc w:val="both"/>
        <w:rPr>
          <w:b/>
          <w:szCs w:val="22"/>
          <w:lang w:val="cs-CZ"/>
        </w:rPr>
      </w:pPr>
      <w:r w:rsidRPr="008A558B">
        <w:rPr>
          <w:szCs w:val="22"/>
          <w:lang w:val="cs-CZ"/>
        </w:rPr>
        <w:t>Dávkování:</w:t>
      </w:r>
    </w:p>
    <w:p w14:paraId="7855E42C" w14:textId="2275DC8F" w:rsidR="00333E95" w:rsidRPr="008A558B" w:rsidRDefault="00333E95" w:rsidP="004314F9">
      <w:pPr>
        <w:spacing w:after="0" w:line="240" w:lineRule="auto"/>
        <w:jc w:val="both"/>
        <w:rPr>
          <w:b/>
          <w:bCs/>
          <w:szCs w:val="22"/>
          <w:lang w:val="cs-CZ"/>
        </w:rPr>
      </w:pPr>
      <w:r w:rsidRPr="008A558B">
        <w:rPr>
          <w:bCs/>
          <w:szCs w:val="22"/>
          <w:u w:val="single"/>
          <w:lang w:val="cs-CZ"/>
        </w:rPr>
        <w:t>Skot a prasata:</w:t>
      </w:r>
      <w:r w:rsidRPr="008A558B">
        <w:rPr>
          <w:bCs/>
          <w:szCs w:val="22"/>
          <w:lang w:val="cs-CZ"/>
        </w:rPr>
        <w:t xml:space="preserve"> 15 mg kombinace léčivých látek/ kg ž.hm. </w:t>
      </w:r>
      <w:r w:rsidRPr="008A558B">
        <w:rPr>
          <w:szCs w:val="22"/>
          <w:lang w:val="cs-CZ"/>
        </w:rPr>
        <w:t>(tj. 12,5 mg sulfadiazinu a 2,5 mg trimethoprimu/kg ž.hm.)</w:t>
      </w:r>
      <w:r w:rsidRPr="008A558B">
        <w:rPr>
          <w:bCs/>
          <w:szCs w:val="22"/>
          <w:lang w:val="cs-CZ"/>
        </w:rPr>
        <w:t xml:space="preserve">, což odpovídá 1 ml </w:t>
      </w:r>
      <w:bookmarkStart w:id="4" w:name="_Hlk224036437"/>
      <w:r w:rsidR="00BD76B4" w:rsidRPr="00BD76B4">
        <w:rPr>
          <w:bCs/>
          <w:szCs w:val="22"/>
          <w:lang w:val="cs-CZ"/>
        </w:rPr>
        <w:t xml:space="preserve">veterinárního léčivého </w:t>
      </w:r>
      <w:bookmarkEnd w:id="4"/>
      <w:r w:rsidR="00BD76B4" w:rsidRPr="00BD76B4">
        <w:rPr>
          <w:bCs/>
          <w:szCs w:val="22"/>
          <w:lang w:val="cs-CZ"/>
        </w:rPr>
        <w:t>přípravku</w:t>
      </w:r>
      <w:r w:rsidRPr="008A558B">
        <w:rPr>
          <w:bCs/>
          <w:szCs w:val="22"/>
          <w:lang w:val="cs-CZ"/>
        </w:rPr>
        <w:t xml:space="preserve"> na 16 kg ž. hm. denně, intramuskulárně nebo intravenózně. </w:t>
      </w:r>
    </w:p>
    <w:p w14:paraId="121F776E" w14:textId="77777777" w:rsidR="00333E95" w:rsidRPr="008A558B" w:rsidRDefault="00333E95" w:rsidP="004314F9">
      <w:pPr>
        <w:spacing w:after="0" w:line="240" w:lineRule="auto"/>
        <w:jc w:val="both"/>
        <w:rPr>
          <w:b/>
          <w:szCs w:val="22"/>
          <w:lang w:val="cs-CZ"/>
        </w:rPr>
      </w:pPr>
      <w:r w:rsidRPr="008A558B">
        <w:rPr>
          <w:szCs w:val="22"/>
          <w:lang w:val="cs-CZ"/>
        </w:rPr>
        <w:t>Maximální objem aplikovaný do jednoho místa injekčního podání nesmí překročit 15 ml.</w:t>
      </w:r>
    </w:p>
    <w:p w14:paraId="5C356BC9" w14:textId="77777777" w:rsidR="00333E95" w:rsidRPr="008A558B" w:rsidRDefault="00333E95" w:rsidP="004314F9">
      <w:pPr>
        <w:spacing w:after="0" w:line="240" w:lineRule="auto"/>
        <w:jc w:val="both"/>
        <w:rPr>
          <w:b/>
          <w:bCs/>
          <w:szCs w:val="22"/>
          <w:lang w:val="cs-CZ"/>
        </w:rPr>
      </w:pPr>
    </w:p>
    <w:p w14:paraId="0874DA09" w14:textId="1E9B0CFA" w:rsidR="00333E95" w:rsidRPr="008A558B" w:rsidRDefault="00333E95" w:rsidP="004314F9">
      <w:pPr>
        <w:spacing w:after="0" w:line="240" w:lineRule="auto"/>
        <w:jc w:val="both"/>
        <w:rPr>
          <w:b/>
          <w:bCs/>
          <w:szCs w:val="22"/>
          <w:lang w:val="cs-CZ"/>
        </w:rPr>
      </w:pPr>
      <w:r w:rsidRPr="008A558B">
        <w:rPr>
          <w:bCs/>
          <w:szCs w:val="22"/>
          <w:u w:val="single"/>
          <w:lang w:val="cs-CZ"/>
        </w:rPr>
        <w:t>Koně:</w:t>
      </w:r>
      <w:r w:rsidRPr="008A558B">
        <w:rPr>
          <w:bCs/>
          <w:szCs w:val="22"/>
          <w:lang w:val="cs-CZ"/>
        </w:rPr>
        <w:t xml:space="preserve"> 15 mg kombinace léčivých látek/ kg ž.hm. (tj. 12,5 mg sulfadiazinu a 2,5 mg trimethoprimu/kg ž.hm.), což odpovídá 1 ml </w:t>
      </w:r>
      <w:r w:rsidR="00BD76B4" w:rsidRPr="00BD76B4">
        <w:rPr>
          <w:bCs/>
          <w:szCs w:val="22"/>
          <w:lang w:val="cs-CZ"/>
        </w:rPr>
        <w:t>veterinárního léčivého přípravku</w:t>
      </w:r>
      <w:r w:rsidRPr="008A558B">
        <w:rPr>
          <w:bCs/>
          <w:szCs w:val="22"/>
          <w:lang w:val="cs-CZ"/>
        </w:rPr>
        <w:t xml:space="preserve"> na 16 kg ž. hm. denně, výhradně intravenózně.</w:t>
      </w:r>
      <w:r w:rsidRPr="008A558B">
        <w:rPr>
          <w:szCs w:val="22"/>
          <w:lang w:val="cs-CZ"/>
        </w:rPr>
        <w:t xml:space="preserve"> </w:t>
      </w:r>
    </w:p>
    <w:p w14:paraId="05DD40D9" w14:textId="77777777" w:rsidR="00333E95" w:rsidRPr="008A558B" w:rsidRDefault="00333E95" w:rsidP="004314F9">
      <w:pPr>
        <w:spacing w:after="0" w:line="240" w:lineRule="auto"/>
        <w:jc w:val="both"/>
        <w:rPr>
          <w:szCs w:val="22"/>
          <w:lang w:val="cs-CZ"/>
        </w:rPr>
      </w:pPr>
    </w:p>
    <w:p w14:paraId="140D7371" w14:textId="75F8C097" w:rsidR="00333E95" w:rsidRPr="008A558B" w:rsidRDefault="00333E95" w:rsidP="004314F9">
      <w:pPr>
        <w:pStyle w:val="Zkladntext"/>
        <w:jc w:val="both"/>
        <w:rPr>
          <w:szCs w:val="22"/>
        </w:rPr>
      </w:pPr>
      <w:r w:rsidRPr="008A558B">
        <w:rPr>
          <w:szCs w:val="22"/>
          <w:u w:val="single"/>
        </w:rPr>
        <w:t>Psi a kočky:</w:t>
      </w:r>
      <w:r w:rsidRPr="008A558B">
        <w:rPr>
          <w:szCs w:val="22"/>
        </w:rPr>
        <w:t xml:space="preserve"> 30 mg/ kg ž.hm. (tj. 25 mg sulfadiazinu a 5 mg trimethoprimu/kg ž.hm.), což odpovídá</w:t>
      </w:r>
      <w:r w:rsidRPr="008A558B" w:rsidDel="00834F2D">
        <w:rPr>
          <w:szCs w:val="22"/>
        </w:rPr>
        <w:t xml:space="preserve"> </w:t>
      </w:r>
      <w:r w:rsidRPr="008A558B">
        <w:rPr>
          <w:szCs w:val="22"/>
        </w:rPr>
        <w:t>1 ml</w:t>
      </w:r>
      <w:r w:rsidR="00BD76B4" w:rsidRPr="00BD76B4">
        <w:t xml:space="preserve"> </w:t>
      </w:r>
      <w:r w:rsidR="00BD76B4" w:rsidRPr="00BD76B4">
        <w:rPr>
          <w:szCs w:val="22"/>
        </w:rPr>
        <w:t>veterinárního léčivého přípravku</w:t>
      </w:r>
      <w:r w:rsidRPr="008A558B">
        <w:rPr>
          <w:szCs w:val="22"/>
        </w:rPr>
        <w:t xml:space="preserve"> na 8 kg ž. hm. denně, pouze subkutánně. </w:t>
      </w:r>
    </w:p>
    <w:p w14:paraId="631268C7" w14:textId="77777777" w:rsidR="00333E95" w:rsidRPr="008A558B" w:rsidRDefault="00333E95" w:rsidP="004314F9">
      <w:pPr>
        <w:pStyle w:val="Zkladntext"/>
        <w:jc w:val="both"/>
        <w:rPr>
          <w:szCs w:val="22"/>
        </w:rPr>
      </w:pPr>
    </w:p>
    <w:p w14:paraId="544A7302" w14:textId="6628151C" w:rsidR="00333E95" w:rsidRPr="008A558B" w:rsidRDefault="00333E95" w:rsidP="004314F9">
      <w:pPr>
        <w:pStyle w:val="Zkladntext"/>
        <w:jc w:val="both"/>
        <w:rPr>
          <w:szCs w:val="22"/>
        </w:rPr>
      </w:pPr>
      <w:r w:rsidRPr="008A558B">
        <w:rPr>
          <w:szCs w:val="22"/>
        </w:rPr>
        <w:t xml:space="preserve">U lehčích infekcí postačuje </w:t>
      </w:r>
      <w:r w:rsidR="00BD76B4">
        <w:rPr>
          <w:szCs w:val="22"/>
        </w:rPr>
        <w:t>jedno podání</w:t>
      </w:r>
      <w:r w:rsidRPr="008A558B">
        <w:rPr>
          <w:szCs w:val="22"/>
        </w:rPr>
        <w:t xml:space="preserve">. U těžších onemocnění je třeba </w:t>
      </w:r>
      <w:r w:rsidR="00BD76B4">
        <w:rPr>
          <w:szCs w:val="22"/>
        </w:rPr>
        <w:t xml:space="preserve">podání </w:t>
      </w:r>
      <w:r w:rsidRPr="008A558B">
        <w:rPr>
          <w:szCs w:val="22"/>
        </w:rPr>
        <w:t xml:space="preserve">opakovat po dobu </w:t>
      </w:r>
      <w:r w:rsidR="00B336E2">
        <w:rPr>
          <w:szCs w:val="22"/>
        </w:rPr>
        <w:t xml:space="preserve">až </w:t>
      </w:r>
      <w:r w:rsidRPr="008A558B">
        <w:rPr>
          <w:szCs w:val="22"/>
        </w:rPr>
        <w:t>5 dnů.</w:t>
      </w:r>
    </w:p>
    <w:p w14:paraId="1EB94B1A" w14:textId="77777777" w:rsidR="00FF6474" w:rsidRPr="008A558B" w:rsidRDefault="00FF6474" w:rsidP="004314F9">
      <w:pPr>
        <w:spacing w:after="0" w:line="240" w:lineRule="auto"/>
        <w:ind w:left="0" w:firstLine="0"/>
        <w:jc w:val="both"/>
        <w:rPr>
          <w:szCs w:val="22"/>
          <w:lang w:val="cs-CZ"/>
        </w:rPr>
      </w:pPr>
    </w:p>
    <w:p w14:paraId="4582D7C5" w14:textId="77777777" w:rsidR="00FF6474" w:rsidRPr="008A558B" w:rsidRDefault="00A711ED" w:rsidP="004314F9">
      <w:pPr>
        <w:pStyle w:val="Nadpis3"/>
        <w:tabs>
          <w:tab w:val="center" w:pos="2093"/>
        </w:tabs>
        <w:spacing w:after="0" w:line="240" w:lineRule="auto"/>
        <w:ind w:left="-14" w:firstLine="0"/>
        <w:jc w:val="both"/>
        <w:rPr>
          <w:szCs w:val="22"/>
          <w:lang w:val="cs-CZ"/>
        </w:rPr>
      </w:pPr>
      <w:r w:rsidRPr="008A558B">
        <w:rPr>
          <w:szCs w:val="22"/>
          <w:shd w:val="clear" w:color="auto" w:fill="D3D3D3"/>
          <w:lang w:val="cs-CZ"/>
        </w:rPr>
        <w:t>9.</w:t>
      </w:r>
      <w:r w:rsidRPr="008A558B">
        <w:rPr>
          <w:szCs w:val="22"/>
          <w:lang w:val="cs-CZ"/>
        </w:rPr>
        <w:t xml:space="preserve"> </w:t>
      </w:r>
      <w:r w:rsidRPr="008A558B">
        <w:rPr>
          <w:szCs w:val="22"/>
          <w:lang w:val="cs-CZ"/>
        </w:rPr>
        <w:tab/>
        <w:t xml:space="preserve">Informace o správném podávání </w:t>
      </w:r>
    </w:p>
    <w:p w14:paraId="479C8AAA" w14:textId="77777777" w:rsidR="00FF6474" w:rsidRPr="008A558B" w:rsidRDefault="00A711ED" w:rsidP="004314F9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6B5732CD" w14:textId="4BC5EE9B" w:rsidR="00FF6474" w:rsidRPr="008A558B" w:rsidRDefault="00333E95" w:rsidP="004314F9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>Pro zajištění podání správné dávky by měla být co nejpřesněji stanovena živá hmotnost.</w:t>
      </w:r>
      <w:r w:rsidR="00A711ED" w:rsidRPr="008A558B">
        <w:rPr>
          <w:szCs w:val="22"/>
          <w:lang w:val="cs-CZ"/>
        </w:rPr>
        <w:t xml:space="preserve"> </w:t>
      </w:r>
    </w:p>
    <w:p w14:paraId="0B44DBA3" w14:textId="77777777" w:rsidR="00FF6474" w:rsidRPr="008A558B" w:rsidRDefault="00A711ED" w:rsidP="004314F9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6BAAA4C0" w14:textId="77777777" w:rsidR="00FF6474" w:rsidRPr="008A558B" w:rsidRDefault="00A711ED" w:rsidP="004314F9">
      <w:pPr>
        <w:tabs>
          <w:tab w:val="center" w:pos="1311"/>
        </w:tabs>
        <w:spacing w:after="0" w:line="240" w:lineRule="auto"/>
        <w:ind w:left="-14" w:firstLine="0"/>
        <w:jc w:val="both"/>
        <w:rPr>
          <w:szCs w:val="22"/>
          <w:lang w:val="cs-CZ"/>
        </w:rPr>
      </w:pPr>
      <w:r w:rsidRPr="008A558B">
        <w:rPr>
          <w:b/>
          <w:szCs w:val="22"/>
          <w:shd w:val="clear" w:color="auto" w:fill="D3D3D3"/>
          <w:lang w:val="cs-CZ"/>
        </w:rPr>
        <w:t>10.</w:t>
      </w:r>
      <w:r w:rsidRPr="008A558B">
        <w:rPr>
          <w:b/>
          <w:szCs w:val="22"/>
          <w:lang w:val="cs-CZ"/>
        </w:rPr>
        <w:t xml:space="preserve"> </w:t>
      </w:r>
      <w:r w:rsidRPr="008A558B">
        <w:rPr>
          <w:b/>
          <w:szCs w:val="22"/>
          <w:lang w:val="cs-CZ"/>
        </w:rPr>
        <w:tab/>
        <w:t xml:space="preserve">Ochranné lhůty </w:t>
      </w:r>
    </w:p>
    <w:p w14:paraId="0C7F3DDC" w14:textId="77777777" w:rsidR="00FF6474" w:rsidRPr="008A558B" w:rsidRDefault="00A711ED" w:rsidP="004314F9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7AC5B7B9" w14:textId="77777777" w:rsidR="002A4DC6" w:rsidRPr="00421879" w:rsidRDefault="00333E95" w:rsidP="004314F9">
      <w:pPr>
        <w:pStyle w:val="Zkladntext"/>
        <w:jc w:val="both"/>
        <w:rPr>
          <w:szCs w:val="22"/>
          <w:u w:val="single"/>
        </w:rPr>
      </w:pPr>
      <w:r w:rsidRPr="00421879">
        <w:rPr>
          <w:szCs w:val="22"/>
          <w:u w:val="single"/>
        </w:rPr>
        <w:t>Skot:</w:t>
      </w:r>
      <w:r w:rsidRPr="008A558B">
        <w:rPr>
          <w:szCs w:val="22"/>
        </w:rPr>
        <w:tab/>
      </w:r>
    </w:p>
    <w:p w14:paraId="69E2E41A" w14:textId="2ABEC584" w:rsidR="00333E95" w:rsidRPr="008A558B" w:rsidRDefault="002A4DC6" w:rsidP="004314F9">
      <w:pPr>
        <w:pStyle w:val="Zkladntext"/>
        <w:jc w:val="both"/>
        <w:rPr>
          <w:szCs w:val="22"/>
        </w:rPr>
      </w:pPr>
      <w:r w:rsidRPr="008A558B">
        <w:rPr>
          <w:szCs w:val="22"/>
        </w:rPr>
        <w:t>M</w:t>
      </w:r>
      <w:r w:rsidR="00333E95" w:rsidRPr="008A558B">
        <w:rPr>
          <w:szCs w:val="22"/>
        </w:rPr>
        <w:t>aso: 12 dní.</w:t>
      </w:r>
    </w:p>
    <w:p w14:paraId="4055A079" w14:textId="2B73DD7A" w:rsidR="00333E95" w:rsidRPr="008A558B" w:rsidRDefault="002A4DC6" w:rsidP="004314F9">
      <w:pPr>
        <w:pStyle w:val="Zkladntext"/>
        <w:tabs>
          <w:tab w:val="left" w:pos="567"/>
        </w:tabs>
        <w:jc w:val="both"/>
        <w:rPr>
          <w:szCs w:val="22"/>
        </w:rPr>
      </w:pPr>
      <w:r w:rsidRPr="008A558B">
        <w:rPr>
          <w:szCs w:val="22"/>
        </w:rPr>
        <w:lastRenderedPageBreak/>
        <w:t>M</w:t>
      </w:r>
      <w:r w:rsidR="00333E95" w:rsidRPr="008A558B">
        <w:rPr>
          <w:szCs w:val="22"/>
        </w:rPr>
        <w:t>léko: 60 hodin.</w:t>
      </w:r>
    </w:p>
    <w:p w14:paraId="2FFA126E" w14:textId="77777777" w:rsidR="00333E95" w:rsidRPr="008A558B" w:rsidRDefault="00333E95" w:rsidP="004314F9">
      <w:pPr>
        <w:pStyle w:val="Zkladntext"/>
        <w:tabs>
          <w:tab w:val="left" w:pos="567"/>
        </w:tabs>
        <w:jc w:val="both"/>
        <w:rPr>
          <w:szCs w:val="22"/>
        </w:rPr>
      </w:pPr>
    </w:p>
    <w:p w14:paraId="623F398F" w14:textId="77777777" w:rsidR="002A4DC6" w:rsidRPr="00421879" w:rsidRDefault="00333E95" w:rsidP="004314F9">
      <w:pPr>
        <w:pStyle w:val="Zkladntext"/>
        <w:jc w:val="both"/>
        <w:rPr>
          <w:szCs w:val="22"/>
          <w:u w:val="single"/>
        </w:rPr>
      </w:pPr>
      <w:r w:rsidRPr="00421879">
        <w:rPr>
          <w:szCs w:val="22"/>
          <w:u w:val="single"/>
        </w:rPr>
        <w:t xml:space="preserve">Prasata: </w:t>
      </w:r>
    </w:p>
    <w:p w14:paraId="27A1E2F3" w14:textId="170466F7" w:rsidR="00333E95" w:rsidRPr="008A558B" w:rsidRDefault="002A4DC6" w:rsidP="004314F9">
      <w:pPr>
        <w:pStyle w:val="Zkladntext"/>
        <w:jc w:val="both"/>
        <w:rPr>
          <w:szCs w:val="22"/>
        </w:rPr>
      </w:pPr>
      <w:r w:rsidRPr="008A558B">
        <w:rPr>
          <w:szCs w:val="22"/>
        </w:rPr>
        <w:t>M</w:t>
      </w:r>
      <w:r w:rsidR="00333E95" w:rsidRPr="008A558B">
        <w:rPr>
          <w:szCs w:val="22"/>
        </w:rPr>
        <w:t>aso: 20 dní.</w:t>
      </w:r>
    </w:p>
    <w:p w14:paraId="088C47B7" w14:textId="77777777" w:rsidR="00333E95" w:rsidRPr="008A558B" w:rsidRDefault="00333E95" w:rsidP="004314F9">
      <w:pPr>
        <w:pStyle w:val="Zkladntext"/>
        <w:jc w:val="both"/>
        <w:rPr>
          <w:szCs w:val="22"/>
        </w:rPr>
      </w:pPr>
    </w:p>
    <w:p w14:paraId="08A7FD3E" w14:textId="1EEEDCD0" w:rsidR="00333E95" w:rsidRPr="008A558B" w:rsidRDefault="00333E95" w:rsidP="004314F9">
      <w:pPr>
        <w:spacing w:after="0" w:line="240" w:lineRule="auto"/>
        <w:jc w:val="both"/>
        <w:rPr>
          <w:bCs/>
          <w:szCs w:val="22"/>
          <w:lang w:val="cs-CZ"/>
        </w:rPr>
      </w:pPr>
      <w:r w:rsidRPr="008A558B">
        <w:rPr>
          <w:bCs/>
          <w:szCs w:val="22"/>
          <w:lang w:val="cs-CZ"/>
        </w:rPr>
        <w:t>Nepoužívat u koní, jejichž maso</w:t>
      </w:r>
      <w:r w:rsidR="005C3A0B">
        <w:rPr>
          <w:bCs/>
          <w:szCs w:val="22"/>
          <w:lang w:val="cs-CZ"/>
        </w:rPr>
        <w:t xml:space="preserve"> a mléko </w:t>
      </w:r>
      <w:r w:rsidRPr="008A558B">
        <w:rPr>
          <w:bCs/>
          <w:szCs w:val="22"/>
          <w:lang w:val="cs-CZ"/>
        </w:rPr>
        <w:t>je určeno pro lidskou spotřebu.</w:t>
      </w:r>
    </w:p>
    <w:p w14:paraId="0874C7D0" w14:textId="4C99CB30" w:rsidR="00FF6474" w:rsidRPr="008A558B" w:rsidRDefault="00FF6474" w:rsidP="004314F9">
      <w:pPr>
        <w:spacing w:after="0" w:line="240" w:lineRule="auto"/>
        <w:ind w:left="0" w:firstLine="0"/>
        <w:jc w:val="both"/>
        <w:rPr>
          <w:szCs w:val="22"/>
          <w:lang w:val="cs-CZ"/>
        </w:rPr>
      </w:pPr>
    </w:p>
    <w:p w14:paraId="03223475" w14:textId="77777777" w:rsidR="00FF6474" w:rsidRPr="008A558B" w:rsidRDefault="00A711ED" w:rsidP="004314F9">
      <w:pPr>
        <w:pStyle w:val="Nadpis3"/>
        <w:tabs>
          <w:tab w:val="center" w:pos="2136"/>
        </w:tabs>
        <w:spacing w:after="0" w:line="240" w:lineRule="auto"/>
        <w:ind w:left="-14" w:firstLine="0"/>
        <w:jc w:val="both"/>
        <w:rPr>
          <w:szCs w:val="22"/>
          <w:lang w:val="cs-CZ"/>
        </w:rPr>
      </w:pPr>
      <w:r w:rsidRPr="008A558B">
        <w:rPr>
          <w:szCs w:val="22"/>
          <w:shd w:val="clear" w:color="auto" w:fill="D3D3D3"/>
          <w:lang w:val="cs-CZ"/>
        </w:rPr>
        <w:t>11.</w:t>
      </w:r>
      <w:r w:rsidRPr="008A558B">
        <w:rPr>
          <w:szCs w:val="22"/>
          <w:lang w:val="cs-CZ"/>
        </w:rPr>
        <w:t xml:space="preserve"> </w:t>
      </w:r>
      <w:r w:rsidRPr="008A558B">
        <w:rPr>
          <w:szCs w:val="22"/>
          <w:lang w:val="cs-CZ"/>
        </w:rPr>
        <w:tab/>
        <w:t xml:space="preserve">Zvláštní opatření pro uchovávání </w:t>
      </w:r>
    </w:p>
    <w:p w14:paraId="52432154" w14:textId="77777777" w:rsidR="00FF6474" w:rsidRPr="008A558B" w:rsidRDefault="00A711ED" w:rsidP="004314F9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74626F87" w14:textId="77777777" w:rsidR="00FF6474" w:rsidRPr="008A558B" w:rsidRDefault="00A711ED" w:rsidP="004314F9">
      <w:pPr>
        <w:spacing w:after="0" w:line="240" w:lineRule="auto"/>
        <w:ind w:left="-4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Uchovávejte mimo dohled a dosah dětí. </w:t>
      </w:r>
    </w:p>
    <w:p w14:paraId="7F5D80FB" w14:textId="77777777" w:rsidR="00FF6474" w:rsidRPr="008A558B" w:rsidRDefault="00A711ED" w:rsidP="004314F9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412A0F99" w14:textId="1E37FC26" w:rsidR="00FF6474" w:rsidRPr="008A558B" w:rsidRDefault="00A711ED" w:rsidP="004314F9">
      <w:pPr>
        <w:spacing w:after="0" w:line="240" w:lineRule="auto"/>
        <w:ind w:left="-4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>Uchovávejte při teplotě do 25 °C</w:t>
      </w:r>
      <w:r w:rsidR="00333E95" w:rsidRPr="008A558B">
        <w:rPr>
          <w:szCs w:val="22"/>
          <w:lang w:val="cs-CZ"/>
        </w:rPr>
        <w:t>.</w:t>
      </w:r>
      <w:r w:rsidRPr="008A558B">
        <w:rPr>
          <w:szCs w:val="22"/>
          <w:lang w:val="cs-CZ"/>
        </w:rPr>
        <w:t xml:space="preserve"> </w:t>
      </w:r>
    </w:p>
    <w:p w14:paraId="6839AE8A" w14:textId="46014272" w:rsidR="00FF6474" w:rsidRDefault="00A711ED" w:rsidP="004314F9">
      <w:pPr>
        <w:spacing w:after="0" w:line="240" w:lineRule="auto"/>
        <w:ind w:left="-4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Chraňte před světlem. </w:t>
      </w:r>
    </w:p>
    <w:p w14:paraId="0A0D29F1" w14:textId="77777777" w:rsidR="009D7A84" w:rsidRPr="008A2F21" w:rsidRDefault="009D7A84" w:rsidP="004314F9">
      <w:pPr>
        <w:pStyle w:val="Zkladntext2"/>
        <w:spacing w:after="0" w:line="240" w:lineRule="auto"/>
        <w:ind w:left="11" w:hanging="11"/>
        <w:jc w:val="both"/>
        <w:rPr>
          <w:szCs w:val="22"/>
          <w:lang w:val="cs-CZ"/>
        </w:rPr>
      </w:pPr>
      <w:r w:rsidRPr="008A2F21">
        <w:rPr>
          <w:szCs w:val="22"/>
          <w:lang w:val="cs-CZ"/>
        </w:rPr>
        <w:t>Chraňte před mrazem.</w:t>
      </w:r>
    </w:p>
    <w:p w14:paraId="360EC52A" w14:textId="77777777" w:rsidR="009D7A84" w:rsidRPr="008A2F21" w:rsidRDefault="009D7A84" w:rsidP="004314F9">
      <w:pPr>
        <w:pStyle w:val="Zkladntext2"/>
        <w:spacing w:after="0" w:line="240" w:lineRule="auto"/>
        <w:ind w:left="11" w:hanging="11"/>
        <w:jc w:val="both"/>
        <w:rPr>
          <w:szCs w:val="22"/>
          <w:lang w:val="cs-CZ"/>
        </w:rPr>
      </w:pPr>
      <w:r w:rsidRPr="008A2F21">
        <w:rPr>
          <w:szCs w:val="22"/>
          <w:lang w:val="cs-CZ"/>
        </w:rPr>
        <w:t>Při nižších teplotách nebo po dlouhodobém skladování v klidu může dojít ke krystalizaci produktu. Krystaly lze znovu rozpustit mírným zahřátím a/nebo protřepáním.</w:t>
      </w:r>
    </w:p>
    <w:p w14:paraId="395EEF40" w14:textId="77777777" w:rsidR="009D7A84" w:rsidRPr="008A558B" w:rsidRDefault="009D7A84" w:rsidP="004314F9">
      <w:pPr>
        <w:spacing w:after="0" w:line="240" w:lineRule="auto"/>
        <w:ind w:left="-4"/>
        <w:jc w:val="both"/>
        <w:rPr>
          <w:szCs w:val="22"/>
          <w:lang w:val="cs-CZ"/>
        </w:rPr>
      </w:pPr>
    </w:p>
    <w:p w14:paraId="54325B96" w14:textId="5B47B14F" w:rsidR="00FF6474" w:rsidRPr="008A558B" w:rsidRDefault="00A711ED" w:rsidP="004314F9">
      <w:pPr>
        <w:spacing w:after="0" w:line="240" w:lineRule="auto"/>
        <w:ind w:left="-4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>Nepoužívejte tento veterinární léčivý přípravek po uplynutí doby použitelnosti uvedené na etiketě</w:t>
      </w:r>
      <w:r w:rsidR="00333E95" w:rsidRPr="008A558B">
        <w:rPr>
          <w:szCs w:val="22"/>
          <w:lang w:val="cs-CZ"/>
        </w:rPr>
        <w:t xml:space="preserve"> a</w:t>
      </w:r>
      <w:r w:rsidR="00382825">
        <w:rPr>
          <w:szCs w:val="22"/>
          <w:lang w:val="cs-CZ"/>
        </w:rPr>
        <w:t> </w:t>
      </w:r>
      <w:r w:rsidRPr="008A558B">
        <w:rPr>
          <w:szCs w:val="22"/>
          <w:lang w:val="cs-CZ"/>
        </w:rPr>
        <w:t>krabičce</w:t>
      </w:r>
      <w:r w:rsidR="00333E95" w:rsidRPr="008A558B">
        <w:rPr>
          <w:szCs w:val="22"/>
          <w:lang w:val="cs-CZ"/>
        </w:rPr>
        <w:t xml:space="preserve"> </w:t>
      </w:r>
      <w:r w:rsidRPr="008A558B">
        <w:rPr>
          <w:szCs w:val="22"/>
          <w:lang w:val="cs-CZ"/>
        </w:rPr>
        <w:t>po Exp.</w:t>
      </w:r>
      <w:r w:rsidR="00333E95" w:rsidRPr="008A558B">
        <w:rPr>
          <w:szCs w:val="22"/>
          <w:lang w:val="cs-CZ"/>
        </w:rPr>
        <w:t xml:space="preserve"> </w:t>
      </w:r>
      <w:r w:rsidRPr="008A558B">
        <w:rPr>
          <w:szCs w:val="22"/>
          <w:lang w:val="cs-CZ"/>
        </w:rPr>
        <w:t xml:space="preserve">Doba použitelnosti končí posledním dnem v uvedeném měsíci. </w:t>
      </w:r>
    </w:p>
    <w:p w14:paraId="284289A5" w14:textId="45C8C1F3" w:rsidR="00FF6474" w:rsidRPr="008A558B" w:rsidRDefault="00A711ED" w:rsidP="004314F9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1BA74560" w14:textId="77777777" w:rsidR="00FF6474" w:rsidRPr="008A558B" w:rsidRDefault="00A711ED" w:rsidP="004314F9">
      <w:pPr>
        <w:pStyle w:val="Nadpis3"/>
        <w:tabs>
          <w:tab w:val="center" w:pos="2000"/>
        </w:tabs>
        <w:spacing w:after="0" w:line="240" w:lineRule="auto"/>
        <w:ind w:left="-14" w:firstLine="0"/>
        <w:jc w:val="both"/>
        <w:rPr>
          <w:szCs w:val="22"/>
          <w:lang w:val="cs-CZ"/>
        </w:rPr>
      </w:pPr>
      <w:r w:rsidRPr="008A558B">
        <w:rPr>
          <w:szCs w:val="22"/>
          <w:shd w:val="clear" w:color="auto" w:fill="D3D3D3"/>
          <w:lang w:val="cs-CZ"/>
        </w:rPr>
        <w:t>12.</w:t>
      </w:r>
      <w:r w:rsidRPr="008A558B">
        <w:rPr>
          <w:szCs w:val="22"/>
          <w:lang w:val="cs-CZ"/>
        </w:rPr>
        <w:t xml:space="preserve"> </w:t>
      </w:r>
      <w:r w:rsidRPr="008A558B">
        <w:rPr>
          <w:szCs w:val="22"/>
          <w:lang w:val="cs-CZ"/>
        </w:rPr>
        <w:tab/>
        <w:t xml:space="preserve">Zvláštní opatření pro likvidaci </w:t>
      </w:r>
    </w:p>
    <w:p w14:paraId="7B1D43D2" w14:textId="77777777" w:rsidR="00FF6474" w:rsidRPr="008A558B" w:rsidRDefault="00A711ED" w:rsidP="004314F9">
      <w:pPr>
        <w:keepNext/>
        <w:spacing w:after="0" w:line="240" w:lineRule="auto"/>
        <w:ind w:left="0" w:firstLine="0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2CBFC83A" w14:textId="4DDD9A0B" w:rsidR="00FF6474" w:rsidRPr="008A558B" w:rsidRDefault="00A711ED" w:rsidP="004314F9">
      <w:pPr>
        <w:spacing w:after="0" w:line="240" w:lineRule="auto"/>
        <w:ind w:left="-4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Léčivé přípravky se nesmí likvidovat prostřednictvím odpadní vody či domovního odpadu. </w:t>
      </w:r>
    </w:p>
    <w:p w14:paraId="1983292D" w14:textId="1E2D3E41" w:rsidR="00FF6474" w:rsidRPr="008A558B" w:rsidRDefault="00A711ED" w:rsidP="004314F9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57CF6C2D" w14:textId="77777777" w:rsidR="00FF6474" w:rsidRPr="008A558B" w:rsidRDefault="00A711ED" w:rsidP="004314F9">
      <w:pPr>
        <w:spacing w:after="0" w:line="240" w:lineRule="auto"/>
        <w:ind w:left="-4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Všechen nepoužitý veterinární léčivý přípravek nebo odpad, který pochází z tohoto přípravku, likvidujte odevzdáním v souladu s místními požadavky a platnými národními systémy sběru. Tato opatření napomáhají chránit životní prostředí. </w:t>
      </w:r>
    </w:p>
    <w:p w14:paraId="4B75E977" w14:textId="77777777" w:rsidR="00FF6474" w:rsidRPr="008A558B" w:rsidRDefault="00A711ED" w:rsidP="004314F9">
      <w:pPr>
        <w:spacing w:after="0" w:line="240" w:lineRule="auto"/>
        <w:ind w:left="1" w:firstLine="0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058A6262" w14:textId="6CD53B7F" w:rsidR="00FF6474" w:rsidRPr="008A558B" w:rsidRDefault="00A711ED" w:rsidP="004314F9">
      <w:pPr>
        <w:spacing w:after="0" w:line="240" w:lineRule="auto"/>
        <w:ind w:left="-4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>O možnostech likvidace nepotřebných léčivých přípravků se poraďte s vaším veterinárním lékařem</w:t>
      </w:r>
      <w:r w:rsidR="00BE56D1" w:rsidRPr="008A558B">
        <w:rPr>
          <w:szCs w:val="22"/>
          <w:lang w:val="cs-CZ"/>
        </w:rPr>
        <w:t>.</w:t>
      </w:r>
      <w:r w:rsidRPr="008A558B">
        <w:rPr>
          <w:szCs w:val="22"/>
          <w:lang w:val="cs-CZ"/>
        </w:rPr>
        <w:t xml:space="preserve"> </w:t>
      </w:r>
    </w:p>
    <w:p w14:paraId="2978DA20" w14:textId="1957B3D7" w:rsidR="00FF6474" w:rsidRPr="008A558B" w:rsidRDefault="00A711ED" w:rsidP="004314F9">
      <w:pPr>
        <w:spacing w:after="0" w:line="240" w:lineRule="auto"/>
        <w:ind w:left="1" w:firstLine="0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1C54C6AF" w14:textId="158B2298" w:rsidR="00FF6474" w:rsidRPr="008A558B" w:rsidRDefault="00382825" w:rsidP="004314F9">
      <w:pPr>
        <w:tabs>
          <w:tab w:val="left" w:pos="567"/>
        </w:tabs>
        <w:spacing w:after="0" w:line="240" w:lineRule="auto"/>
        <w:ind w:left="0" w:firstLine="0"/>
        <w:jc w:val="both"/>
        <w:rPr>
          <w:szCs w:val="22"/>
          <w:lang w:val="cs-CZ"/>
        </w:rPr>
      </w:pPr>
      <w:r w:rsidRPr="00421879">
        <w:rPr>
          <w:b/>
          <w:szCs w:val="22"/>
          <w:highlight w:val="lightGray"/>
          <w:lang w:val="cs-CZ"/>
        </w:rPr>
        <w:t>13.</w:t>
      </w:r>
      <w:r>
        <w:rPr>
          <w:b/>
          <w:szCs w:val="22"/>
          <w:lang w:val="cs-CZ"/>
        </w:rPr>
        <w:tab/>
      </w:r>
      <w:r w:rsidR="00A711ED" w:rsidRPr="008A558B">
        <w:rPr>
          <w:b/>
          <w:szCs w:val="22"/>
          <w:lang w:val="cs-CZ"/>
        </w:rPr>
        <w:t xml:space="preserve">Klasifikace veterinárních léčivých přípravků </w:t>
      </w:r>
    </w:p>
    <w:p w14:paraId="79126CD4" w14:textId="77777777" w:rsidR="00333E95" w:rsidRPr="008A558B" w:rsidRDefault="00333E95" w:rsidP="004314F9">
      <w:pPr>
        <w:spacing w:after="0" w:line="240" w:lineRule="auto"/>
        <w:ind w:left="-4"/>
        <w:jc w:val="both"/>
        <w:rPr>
          <w:szCs w:val="22"/>
          <w:lang w:val="cs-CZ"/>
        </w:rPr>
      </w:pPr>
    </w:p>
    <w:p w14:paraId="7B56DEDE" w14:textId="52E5F381" w:rsidR="00FF6474" w:rsidRPr="008A558B" w:rsidRDefault="00333E95" w:rsidP="004314F9">
      <w:pPr>
        <w:spacing w:after="0" w:line="240" w:lineRule="auto"/>
        <w:ind w:left="-4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Veterinární léčivý přípravek je vydáván pouze na předpis. </w:t>
      </w:r>
      <w:r w:rsidR="00A711ED" w:rsidRPr="008A558B">
        <w:rPr>
          <w:szCs w:val="22"/>
          <w:lang w:val="cs-CZ"/>
        </w:rPr>
        <w:t xml:space="preserve"> </w:t>
      </w:r>
    </w:p>
    <w:p w14:paraId="4EB0ECCC" w14:textId="77777777" w:rsidR="00FF6474" w:rsidRPr="008A558B" w:rsidRDefault="00A711ED" w:rsidP="004314F9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74793B94" w14:textId="5DC1E551" w:rsidR="00FF6474" w:rsidRPr="008A558B" w:rsidRDefault="00382825" w:rsidP="004314F9">
      <w:pPr>
        <w:tabs>
          <w:tab w:val="left" w:pos="567"/>
        </w:tabs>
        <w:spacing w:after="0" w:line="240" w:lineRule="auto"/>
        <w:ind w:left="0" w:firstLine="0"/>
        <w:jc w:val="both"/>
        <w:rPr>
          <w:szCs w:val="22"/>
          <w:lang w:val="cs-CZ"/>
        </w:rPr>
      </w:pPr>
      <w:r w:rsidRPr="00421879">
        <w:rPr>
          <w:b/>
          <w:szCs w:val="22"/>
          <w:highlight w:val="lightGray"/>
          <w:lang w:val="cs-CZ"/>
        </w:rPr>
        <w:t>14.</w:t>
      </w:r>
      <w:r>
        <w:rPr>
          <w:b/>
          <w:szCs w:val="22"/>
          <w:lang w:val="cs-CZ"/>
        </w:rPr>
        <w:tab/>
      </w:r>
      <w:r w:rsidR="00A711ED" w:rsidRPr="008A558B">
        <w:rPr>
          <w:b/>
          <w:szCs w:val="22"/>
          <w:lang w:val="cs-CZ"/>
        </w:rPr>
        <w:t xml:space="preserve">Registrační čísla a velikosti balení </w:t>
      </w:r>
    </w:p>
    <w:p w14:paraId="69EF8510" w14:textId="77777777" w:rsidR="00FF6474" w:rsidRPr="008A558B" w:rsidRDefault="00A711ED" w:rsidP="004314F9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59F3BC92" w14:textId="77777777" w:rsidR="00333E95" w:rsidRPr="008A558B" w:rsidRDefault="00333E95" w:rsidP="004314F9">
      <w:pPr>
        <w:spacing w:after="0" w:line="240" w:lineRule="auto"/>
        <w:jc w:val="both"/>
        <w:rPr>
          <w:b/>
          <w:szCs w:val="22"/>
          <w:lang w:val="cs-CZ"/>
        </w:rPr>
      </w:pPr>
      <w:r w:rsidRPr="008A558B">
        <w:rPr>
          <w:szCs w:val="22"/>
          <w:lang w:val="cs-CZ"/>
        </w:rPr>
        <w:t>96/518/</w:t>
      </w:r>
      <w:proofErr w:type="gramStart"/>
      <w:r w:rsidRPr="008A558B">
        <w:rPr>
          <w:szCs w:val="22"/>
          <w:lang w:val="cs-CZ"/>
        </w:rPr>
        <w:t>94-C</w:t>
      </w:r>
      <w:proofErr w:type="gramEnd"/>
    </w:p>
    <w:p w14:paraId="7713BA91" w14:textId="77777777" w:rsidR="00333E95" w:rsidRPr="008A558B" w:rsidRDefault="00333E95" w:rsidP="004314F9">
      <w:pPr>
        <w:pStyle w:val="Zkladntext"/>
        <w:jc w:val="both"/>
        <w:rPr>
          <w:bCs w:val="0"/>
          <w:szCs w:val="22"/>
        </w:rPr>
      </w:pPr>
    </w:p>
    <w:p w14:paraId="45F60E3C" w14:textId="77777777" w:rsidR="00333E95" w:rsidRPr="008A558B" w:rsidRDefault="00333E95" w:rsidP="004314F9">
      <w:pPr>
        <w:spacing w:after="0" w:line="240" w:lineRule="auto"/>
        <w:jc w:val="both"/>
        <w:rPr>
          <w:b/>
          <w:bCs/>
          <w:szCs w:val="22"/>
          <w:lang w:val="cs-CZ"/>
        </w:rPr>
      </w:pPr>
      <w:r w:rsidRPr="008A558B">
        <w:rPr>
          <w:bCs/>
          <w:szCs w:val="22"/>
          <w:lang w:val="cs-CZ"/>
        </w:rPr>
        <w:t>Velikost balení: 1 x 50 ml, 1 x 100 ml, 1 x 250 ml</w:t>
      </w:r>
    </w:p>
    <w:p w14:paraId="502661F8" w14:textId="77777777" w:rsidR="00333E95" w:rsidRPr="008A558B" w:rsidRDefault="00333E95" w:rsidP="004314F9">
      <w:pPr>
        <w:spacing w:after="0" w:line="240" w:lineRule="auto"/>
        <w:ind w:left="-4"/>
        <w:jc w:val="both"/>
        <w:rPr>
          <w:szCs w:val="22"/>
          <w:lang w:val="cs-CZ"/>
        </w:rPr>
      </w:pPr>
    </w:p>
    <w:p w14:paraId="24D0B106" w14:textId="5B2783F5" w:rsidR="00FF6474" w:rsidRPr="008A558B" w:rsidRDefault="00A711ED" w:rsidP="004314F9">
      <w:pPr>
        <w:spacing w:after="0" w:line="240" w:lineRule="auto"/>
        <w:ind w:left="-4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>Na trhu nemusí být všechny velikosti balení.</w:t>
      </w:r>
    </w:p>
    <w:p w14:paraId="7ECD1BC2" w14:textId="6E745D8E" w:rsidR="00FF6474" w:rsidRPr="008A558B" w:rsidRDefault="00A711ED" w:rsidP="004314F9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1DAEDE89" w14:textId="77777777" w:rsidR="00FF6474" w:rsidRPr="008A558B" w:rsidRDefault="00A711ED" w:rsidP="004314F9">
      <w:pPr>
        <w:pStyle w:val="Nadpis3"/>
        <w:tabs>
          <w:tab w:val="center" w:pos="2597"/>
        </w:tabs>
        <w:spacing w:after="0" w:line="240" w:lineRule="auto"/>
        <w:ind w:left="-14" w:firstLine="0"/>
        <w:jc w:val="both"/>
        <w:rPr>
          <w:szCs w:val="22"/>
          <w:lang w:val="cs-CZ"/>
        </w:rPr>
      </w:pPr>
      <w:r w:rsidRPr="008A558B">
        <w:rPr>
          <w:szCs w:val="22"/>
          <w:shd w:val="clear" w:color="auto" w:fill="D3D3D3"/>
          <w:lang w:val="cs-CZ"/>
        </w:rPr>
        <w:t>15.</w:t>
      </w:r>
      <w:r w:rsidRPr="008A558B">
        <w:rPr>
          <w:szCs w:val="22"/>
          <w:lang w:val="cs-CZ"/>
        </w:rPr>
        <w:t xml:space="preserve"> </w:t>
      </w:r>
      <w:r w:rsidRPr="008A558B">
        <w:rPr>
          <w:szCs w:val="22"/>
          <w:lang w:val="cs-CZ"/>
        </w:rPr>
        <w:tab/>
        <w:t xml:space="preserve">Datum poslední revize příbalové informace </w:t>
      </w:r>
    </w:p>
    <w:p w14:paraId="589BE763" w14:textId="77777777" w:rsidR="00FF6474" w:rsidRPr="008A558B" w:rsidRDefault="00A711ED" w:rsidP="004314F9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1912D560" w14:textId="79ACF249" w:rsidR="00FF6474" w:rsidRPr="008A558B" w:rsidRDefault="00711A00" w:rsidP="004314F9">
      <w:pPr>
        <w:spacing w:after="0" w:line="240" w:lineRule="auto"/>
        <w:ind w:left="-4"/>
        <w:jc w:val="both"/>
        <w:rPr>
          <w:szCs w:val="22"/>
          <w:lang w:val="cs-CZ"/>
        </w:rPr>
      </w:pPr>
      <w:r>
        <w:rPr>
          <w:szCs w:val="22"/>
          <w:lang w:val="cs-CZ"/>
        </w:rPr>
        <w:t>0</w:t>
      </w:r>
      <w:r w:rsidR="00074E29">
        <w:rPr>
          <w:szCs w:val="22"/>
          <w:lang w:val="cs-CZ"/>
        </w:rPr>
        <w:t>5</w:t>
      </w:r>
      <w:r>
        <w:rPr>
          <w:szCs w:val="22"/>
          <w:lang w:val="cs-CZ"/>
        </w:rPr>
        <w:t>/2026</w:t>
      </w:r>
    </w:p>
    <w:p w14:paraId="15EF988E" w14:textId="77777777" w:rsidR="00FF6474" w:rsidRPr="008A558B" w:rsidRDefault="00A711ED" w:rsidP="004314F9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04D4CBF0" w14:textId="2E409CD3" w:rsidR="00FF6474" w:rsidRDefault="00A711ED" w:rsidP="004314F9">
      <w:pPr>
        <w:spacing w:after="0" w:line="240" w:lineRule="auto"/>
        <w:ind w:left="-4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>Podrobné informace o tomto veterinárním léčivém přípravku jsou k dispozici v databázi přípravků Unie (</w:t>
      </w:r>
      <w:hyperlink r:id="rId12">
        <w:r w:rsidRPr="008A558B">
          <w:rPr>
            <w:color w:val="0000FF"/>
            <w:szCs w:val="22"/>
            <w:u w:val="single" w:color="0000FF"/>
            <w:lang w:val="cs-CZ"/>
          </w:rPr>
          <w:t>https://medicines.health.europa.eu/veterinary</w:t>
        </w:r>
      </w:hyperlink>
      <w:hyperlink r:id="rId13">
        <w:r w:rsidRPr="008A558B">
          <w:rPr>
            <w:szCs w:val="22"/>
            <w:lang w:val="cs-CZ"/>
          </w:rPr>
          <w:t>)</w:t>
        </w:r>
      </w:hyperlink>
      <w:r w:rsidRPr="008A558B">
        <w:rPr>
          <w:szCs w:val="22"/>
          <w:lang w:val="cs-CZ"/>
        </w:rPr>
        <w:t xml:space="preserve">. </w:t>
      </w:r>
    </w:p>
    <w:p w14:paraId="5DE067BB" w14:textId="77777777" w:rsidR="00711A00" w:rsidRPr="00270CFA" w:rsidRDefault="00711A00" w:rsidP="004314F9">
      <w:pPr>
        <w:spacing w:after="0" w:line="240" w:lineRule="auto"/>
        <w:ind w:left="-4" w:hanging="11"/>
        <w:jc w:val="both"/>
        <w:rPr>
          <w:szCs w:val="22"/>
          <w:lang w:val="cs-CZ"/>
        </w:rPr>
      </w:pPr>
    </w:p>
    <w:p w14:paraId="04F86500" w14:textId="77777777" w:rsidR="00711A00" w:rsidRPr="00270CFA" w:rsidRDefault="00711A00" w:rsidP="004314F9">
      <w:pPr>
        <w:spacing w:after="0" w:line="240" w:lineRule="auto"/>
        <w:ind w:hanging="11"/>
        <w:jc w:val="both"/>
        <w:rPr>
          <w:lang w:val="cs-CZ"/>
        </w:rPr>
      </w:pPr>
      <w:bookmarkStart w:id="5" w:name="_Hlk206662386"/>
      <w:r w:rsidRPr="00270CFA">
        <w:rPr>
          <w:rStyle w:val="markedcontent"/>
          <w:szCs w:val="22"/>
          <w:lang w:val="cs-CZ"/>
        </w:rPr>
        <w:t xml:space="preserve">Podrobné informace o tomto veterinárním léčivém přípravku naleznete také v národní databázi </w:t>
      </w:r>
      <w:r w:rsidRPr="00270CFA">
        <w:rPr>
          <w:lang w:val="cs-CZ"/>
        </w:rPr>
        <w:t>(</w:t>
      </w:r>
      <w:hyperlink r:id="rId14" w:history="1">
        <w:r w:rsidRPr="00270CFA">
          <w:rPr>
            <w:rStyle w:val="Hypertextovodkaz"/>
            <w:color w:val="0000FF"/>
            <w:lang w:val="cs-CZ"/>
          </w:rPr>
          <w:t>https://www.uskvbl.cz</w:t>
        </w:r>
      </w:hyperlink>
      <w:r w:rsidRPr="00270CFA">
        <w:rPr>
          <w:lang w:val="cs-CZ"/>
        </w:rPr>
        <w:t xml:space="preserve">). </w:t>
      </w:r>
    </w:p>
    <w:bookmarkEnd w:id="5"/>
    <w:p w14:paraId="72A06FCE" w14:textId="77777777" w:rsidR="00FF6474" w:rsidRPr="008A558B" w:rsidRDefault="00A711ED" w:rsidP="00421879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0FEE25D4" w14:textId="77777777" w:rsidR="00FF6474" w:rsidRPr="008A558B" w:rsidRDefault="00A711ED" w:rsidP="004314F9">
      <w:pPr>
        <w:pStyle w:val="Nadpis3"/>
        <w:tabs>
          <w:tab w:val="center" w:pos="1340"/>
        </w:tabs>
        <w:spacing w:after="0" w:line="240" w:lineRule="auto"/>
        <w:ind w:left="-14" w:firstLine="0"/>
        <w:jc w:val="both"/>
        <w:rPr>
          <w:szCs w:val="22"/>
          <w:lang w:val="cs-CZ"/>
        </w:rPr>
      </w:pPr>
      <w:r w:rsidRPr="008A558B">
        <w:rPr>
          <w:szCs w:val="22"/>
          <w:shd w:val="clear" w:color="auto" w:fill="D3D3D3"/>
          <w:lang w:val="cs-CZ"/>
        </w:rPr>
        <w:lastRenderedPageBreak/>
        <w:t>16.</w:t>
      </w:r>
      <w:r w:rsidRPr="008A558B">
        <w:rPr>
          <w:szCs w:val="22"/>
          <w:lang w:val="cs-CZ"/>
        </w:rPr>
        <w:t xml:space="preserve"> </w:t>
      </w:r>
      <w:r w:rsidRPr="008A558B">
        <w:rPr>
          <w:szCs w:val="22"/>
          <w:lang w:val="cs-CZ"/>
        </w:rPr>
        <w:tab/>
        <w:t xml:space="preserve">Kontaktní údaje </w:t>
      </w:r>
    </w:p>
    <w:p w14:paraId="3E2DF063" w14:textId="77777777" w:rsidR="00FF6474" w:rsidRPr="008A558B" w:rsidRDefault="00A711ED" w:rsidP="004314F9">
      <w:pPr>
        <w:keepNext/>
        <w:spacing w:after="0" w:line="240" w:lineRule="auto"/>
        <w:ind w:left="0" w:firstLine="0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0612744A" w14:textId="77777777" w:rsidR="004827C8" w:rsidRPr="008A558B" w:rsidRDefault="004827C8" w:rsidP="004314F9">
      <w:pPr>
        <w:keepNext/>
        <w:spacing w:after="0" w:line="240" w:lineRule="auto"/>
        <w:jc w:val="both"/>
        <w:rPr>
          <w:iCs/>
          <w:szCs w:val="22"/>
          <w:u w:val="single"/>
          <w:lang w:val="cs-CZ"/>
        </w:rPr>
      </w:pPr>
      <w:bookmarkStart w:id="6" w:name="_Hlk73552578"/>
      <w:r w:rsidRPr="008A558B">
        <w:rPr>
          <w:iCs/>
          <w:szCs w:val="22"/>
          <w:u w:val="single"/>
          <w:lang w:val="cs-CZ"/>
        </w:rPr>
        <w:t>Držitel rozhodnutí o registraci:</w:t>
      </w:r>
    </w:p>
    <w:p w14:paraId="7D8A447F" w14:textId="77777777" w:rsidR="00F807E9" w:rsidRPr="008A558B" w:rsidRDefault="004827C8" w:rsidP="004314F9">
      <w:pPr>
        <w:pStyle w:val="Zkladntext"/>
        <w:jc w:val="both"/>
        <w:rPr>
          <w:szCs w:val="22"/>
        </w:rPr>
      </w:pPr>
      <w:proofErr w:type="spellStart"/>
      <w:r w:rsidRPr="008A558B">
        <w:rPr>
          <w:szCs w:val="22"/>
        </w:rPr>
        <w:t>Norbrook</w:t>
      </w:r>
      <w:proofErr w:type="spellEnd"/>
      <w:r w:rsidRPr="008A558B">
        <w:rPr>
          <w:szCs w:val="22"/>
        </w:rPr>
        <w:t xml:space="preserve"> </w:t>
      </w:r>
      <w:proofErr w:type="spellStart"/>
      <w:r w:rsidRPr="008A558B">
        <w:rPr>
          <w:szCs w:val="22"/>
        </w:rPr>
        <w:t>Laboratories</w:t>
      </w:r>
      <w:proofErr w:type="spellEnd"/>
      <w:r w:rsidRPr="008A558B">
        <w:rPr>
          <w:szCs w:val="22"/>
        </w:rPr>
        <w:t xml:space="preserve"> (</w:t>
      </w:r>
      <w:proofErr w:type="spellStart"/>
      <w:r w:rsidRPr="008A558B">
        <w:rPr>
          <w:szCs w:val="22"/>
        </w:rPr>
        <w:t>Ireland</w:t>
      </w:r>
      <w:proofErr w:type="spellEnd"/>
      <w:r w:rsidRPr="008A558B">
        <w:rPr>
          <w:szCs w:val="22"/>
        </w:rPr>
        <w:t xml:space="preserve">) Limited, </w:t>
      </w:r>
    </w:p>
    <w:p w14:paraId="499C414A" w14:textId="77777777" w:rsidR="00F807E9" w:rsidRPr="008A558B" w:rsidRDefault="004827C8" w:rsidP="004314F9">
      <w:pPr>
        <w:pStyle w:val="Zkladntext"/>
        <w:jc w:val="both"/>
        <w:rPr>
          <w:szCs w:val="22"/>
        </w:rPr>
      </w:pPr>
      <w:proofErr w:type="spellStart"/>
      <w:r w:rsidRPr="008A558B">
        <w:rPr>
          <w:szCs w:val="22"/>
        </w:rPr>
        <w:t>Rossmore</w:t>
      </w:r>
      <w:proofErr w:type="spellEnd"/>
      <w:r w:rsidRPr="008A558B">
        <w:rPr>
          <w:szCs w:val="22"/>
        </w:rPr>
        <w:t xml:space="preserve"> </w:t>
      </w:r>
      <w:proofErr w:type="spellStart"/>
      <w:r w:rsidRPr="008A558B">
        <w:rPr>
          <w:szCs w:val="22"/>
        </w:rPr>
        <w:t>Industrial</w:t>
      </w:r>
      <w:proofErr w:type="spellEnd"/>
      <w:r w:rsidRPr="008A558B">
        <w:rPr>
          <w:szCs w:val="22"/>
        </w:rPr>
        <w:t xml:space="preserve"> </w:t>
      </w:r>
      <w:proofErr w:type="spellStart"/>
      <w:r w:rsidRPr="008A558B">
        <w:rPr>
          <w:szCs w:val="22"/>
        </w:rPr>
        <w:t>Estate</w:t>
      </w:r>
      <w:proofErr w:type="spellEnd"/>
      <w:r w:rsidRPr="008A558B">
        <w:rPr>
          <w:szCs w:val="22"/>
        </w:rPr>
        <w:t xml:space="preserve">, </w:t>
      </w:r>
    </w:p>
    <w:p w14:paraId="7D00B880" w14:textId="77777777" w:rsidR="00F807E9" w:rsidRPr="008A558B" w:rsidRDefault="004827C8" w:rsidP="004314F9">
      <w:pPr>
        <w:pStyle w:val="Zkladntext"/>
        <w:jc w:val="both"/>
        <w:rPr>
          <w:szCs w:val="22"/>
        </w:rPr>
      </w:pPr>
      <w:proofErr w:type="spellStart"/>
      <w:r w:rsidRPr="008A558B">
        <w:rPr>
          <w:szCs w:val="22"/>
        </w:rPr>
        <w:t>Monaghan</w:t>
      </w:r>
      <w:proofErr w:type="spellEnd"/>
      <w:r w:rsidRPr="008A558B">
        <w:rPr>
          <w:szCs w:val="22"/>
        </w:rPr>
        <w:t xml:space="preserve">, </w:t>
      </w:r>
    </w:p>
    <w:p w14:paraId="6A8E7495" w14:textId="495FD87B" w:rsidR="004827C8" w:rsidRPr="008A558B" w:rsidRDefault="004827C8" w:rsidP="004314F9">
      <w:pPr>
        <w:pStyle w:val="Zkladntext"/>
        <w:jc w:val="both"/>
        <w:rPr>
          <w:szCs w:val="22"/>
        </w:rPr>
      </w:pPr>
      <w:r w:rsidRPr="008A558B">
        <w:rPr>
          <w:szCs w:val="22"/>
        </w:rPr>
        <w:t>Irsko.</w:t>
      </w:r>
    </w:p>
    <w:bookmarkEnd w:id="6"/>
    <w:p w14:paraId="761B740F" w14:textId="77777777" w:rsidR="004827C8" w:rsidRPr="008A558B" w:rsidRDefault="004827C8" w:rsidP="004314F9">
      <w:pPr>
        <w:spacing w:after="0" w:line="240" w:lineRule="auto"/>
        <w:jc w:val="both"/>
        <w:rPr>
          <w:szCs w:val="22"/>
          <w:lang w:val="cs-CZ"/>
        </w:rPr>
      </w:pPr>
    </w:p>
    <w:p w14:paraId="16404DED" w14:textId="77777777" w:rsidR="004827C8" w:rsidRPr="008A558B" w:rsidRDefault="004827C8" w:rsidP="004314F9">
      <w:pPr>
        <w:spacing w:after="0" w:line="240" w:lineRule="auto"/>
        <w:jc w:val="both"/>
        <w:rPr>
          <w:szCs w:val="22"/>
          <w:lang w:val="cs-CZ"/>
        </w:rPr>
      </w:pPr>
      <w:r w:rsidRPr="008A558B">
        <w:rPr>
          <w:bCs/>
          <w:szCs w:val="22"/>
          <w:u w:val="single"/>
          <w:lang w:val="cs-CZ"/>
        </w:rPr>
        <w:t>Výrobce odpovědný za uvolnění šarže</w:t>
      </w:r>
      <w:r w:rsidRPr="008A558B">
        <w:rPr>
          <w:szCs w:val="22"/>
          <w:lang w:val="cs-CZ"/>
        </w:rPr>
        <w:t xml:space="preserve">: </w:t>
      </w:r>
    </w:p>
    <w:p w14:paraId="4748B481" w14:textId="77777777" w:rsidR="00B90065" w:rsidRPr="00421879" w:rsidRDefault="004827C8" w:rsidP="004314F9">
      <w:pPr>
        <w:spacing w:after="0" w:line="240" w:lineRule="auto"/>
        <w:jc w:val="both"/>
        <w:rPr>
          <w:rFonts w:eastAsia="Calibri"/>
          <w:szCs w:val="22"/>
          <w:lang w:val="cs-CZ"/>
        </w:rPr>
      </w:pPr>
      <w:proofErr w:type="spellStart"/>
      <w:r w:rsidRPr="00421879">
        <w:rPr>
          <w:rFonts w:eastAsia="Calibri"/>
          <w:szCs w:val="22"/>
          <w:lang w:val="cs-CZ"/>
        </w:rPr>
        <w:t>Norbrook</w:t>
      </w:r>
      <w:proofErr w:type="spellEnd"/>
      <w:r w:rsidRPr="00421879">
        <w:rPr>
          <w:rFonts w:eastAsia="Calibri"/>
          <w:szCs w:val="22"/>
          <w:lang w:val="cs-CZ"/>
        </w:rPr>
        <w:t xml:space="preserve"> </w:t>
      </w:r>
      <w:proofErr w:type="spellStart"/>
      <w:r w:rsidRPr="00421879">
        <w:rPr>
          <w:rFonts w:eastAsia="Calibri"/>
          <w:szCs w:val="22"/>
          <w:lang w:val="cs-CZ"/>
        </w:rPr>
        <w:t>Manufacturing</w:t>
      </w:r>
      <w:proofErr w:type="spellEnd"/>
      <w:r w:rsidRPr="00421879">
        <w:rPr>
          <w:rFonts w:eastAsia="Calibri"/>
          <w:szCs w:val="22"/>
          <w:lang w:val="cs-CZ"/>
        </w:rPr>
        <w:t xml:space="preserve"> Ltd, </w:t>
      </w:r>
    </w:p>
    <w:p w14:paraId="112AE1B7" w14:textId="77777777" w:rsidR="00B90065" w:rsidRPr="00421879" w:rsidRDefault="004827C8" w:rsidP="004314F9">
      <w:pPr>
        <w:spacing w:after="0" w:line="240" w:lineRule="auto"/>
        <w:jc w:val="both"/>
        <w:rPr>
          <w:rFonts w:eastAsia="Calibri"/>
          <w:szCs w:val="22"/>
          <w:lang w:val="cs-CZ"/>
        </w:rPr>
      </w:pPr>
      <w:proofErr w:type="spellStart"/>
      <w:r w:rsidRPr="00421879">
        <w:rPr>
          <w:rFonts w:eastAsia="Calibri"/>
          <w:szCs w:val="22"/>
          <w:lang w:val="cs-CZ"/>
        </w:rPr>
        <w:t>Rossmore</w:t>
      </w:r>
      <w:proofErr w:type="spellEnd"/>
      <w:r w:rsidRPr="00421879">
        <w:rPr>
          <w:rFonts w:eastAsia="Calibri"/>
          <w:szCs w:val="22"/>
          <w:lang w:val="cs-CZ"/>
        </w:rPr>
        <w:t xml:space="preserve"> </w:t>
      </w:r>
      <w:proofErr w:type="spellStart"/>
      <w:r w:rsidRPr="00421879">
        <w:rPr>
          <w:rFonts w:eastAsia="Calibri"/>
          <w:szCs w:val="22"/>
          <w:lang w:val="cs-CZ"/>
        </w:rPr>
        <w:t>Industrial</w:t>
      </w:r>
      <w:proofErr w:type="spellEnd"/>
      <w:r w:rsidRPr="00421879">
        <w:rPr>
          <w:rFonts w:eastAsia="Calibri"/>
          <w:szCs w:val="22"/>
          <w:lang w:val="cs-CZ"/>
        </w:rPr>
        <w:t xml:space="preserve"> </w:t>
      </w:r>
      <w:proofErr w:type="spellStart"/>
      <w:r w:rsidRPr="00421879">
        <w:rPr>
          <w:rFonts w:eastAsia="Calibri"/>
          <w:szCs w:val="22"/>
          <w:lang w:val="cs-CZ"/>
        </w:rPr>
        <w:t>Estate</w:t>
      </w:r>
      <w:proofErr w:type="spellEnd"/>
      <w:r w:rsidRPr="00421879">
        <w:rPr>
          <w:rFonts w:eastAsia="Calibri"/>
          <w:szCs w:val="22"/>
          <w:lang w:val="cs-CZ"/>
        </w:rPr>
        <w:t xml:space="preserve">, </w:t>
      </w:r>
    </w:p>
    <w:p w14:paraId="13ACB3FE" w14:textId="77777777" w:rsidR="00B90065" w:rsidRPr="00421879" w:rsidRDefault="004827C8" w:rsidP="004314F9">
      <w:pPr>
        <w:spacing w:after="0" w:line="240" w:lineRule="auto"/>
        <w:jc w:val="both"/>
        <w:rPr>
          <w:rFonts w:eastAsia="Calibri"/>
          <w:szCs w:val="22"/>
          <w:lang w:val="cs-CZ"/>
        </w:rPr>
      </w:pPr>
      <w:proofErr w:type="spellStart"/>
      <w:r w:rsidRPr="00421879">
        <w:rPr>
          <w:rFonts w:eastAsia="Calibri"/>
          <w:szCs w:val="22"/>
          <w:lang w:val="cs-CZ"/>
        </w:rPr>
        <w:t>Monaghan</w:t>
      </w:r>
      <w:proofErr w:type="spellEnd"/>
      <w:r w:rsidRPr="00421879">
        <w:rPr>
          <w:rFonts w:eastAsia="Calibri"/>
          <w:szCs w:val="22"/>
          <w:lang w:val="cs-CZ"/>
        </w:rPr>
        <w:t xml:space="preserve">, </w:t>
      </w:r>
    </w:p>
    <w:p w14:paraId="08CD0194" w14:textId="18EB1609" w:rsidR="004827C8" w:rsidRPr="008A558B" w:rsidRDefault="004827C8" w:rsidP="004314F9">
      <w:pPr>
        <w:spacing w:after="0" w:line="240" w:lineRule="auto"/>
        <w:jc w:val="both"/>
        <w:rPr>
          <w:rFonts w:eastAsia="Calibri"/>
          <w:szCs w:val="22"/>
          <w:lang w:val="cs-CZ"/>
        </w:rPr>
      </w:pPr>
      <w:r w:rsidRPr="00421879">
        <w:rPr>
          <w:rFonts w:eastAsia="Calibri"/>
          <w:szCs w:val="22"/>
          <w:lang w:val="cs-CZ"/>
        </w:rPr>
        <w:t>Irsko</w:t>
      </w:r>
    </w:p>
    <w:p w14:paraId="00C35998" w14:textId="77777777" w:rsidR="00B90065" w:rsidRPr="008A558B" w:rsidRDefault="00B90065" w:rsidP="004314F9">
      <w:pPr>
        <w:spacing w:after="0" w:line="240" w:lineRule="auto"/>
        <w:jc w:val="both"/>
        <w:rPr>
          <w:rFonts w:eastAsia="Calibri"/>
          <w:szCs w:val="22"/>
          <w:lang w:val="cs-CZ"/>
        </w:rPr>
      </w:pPr>
    </w:p>
    <w:p w14:paraId="5BEB1D3C" w14:textId="77777777" w:rsidR="00B90065" w:rsidRPr="008A558B" w:rsidRDefault="004827C8" w:rsidP="004314F9">
      <w:pPr>
        <w:spacing w:after="0" w:line="240" w:lineRule="auto"/>
        <w:jc w:val="both"/>
        <w:rPr>
          <w:szCs w:val="22"/>
          <w:lang w:val="cs-CZ"/>
        </w:rPr>
      </w:pPr>
      <w:proofErr w:type="spellStart"/>
      <w:r w:rsidRPr="008A558B">
        <w:rPr>
          <w:szCs w:val="22"/>
          <w:lang w:val="cs-CZ"/>
        </w:rPr>
        <w:t>Norbrook</w:t>
      </w:r>
      <w:proofErr w:type="spellEnd"/>
      <w:r w:rsidRPr="008A558B">
        <w:rPr>
          <w:szCs w:val="22"/>
          <w:lang w:val="cs-CZ"/>
        </w:rPr>
        <w:t xml:space="preserve"> </w:t>
      </w:r>
      <w:proofErr w:type="spellStart"/>
      <w:r w:rsidRPr="008A558B">
        <w:rPr>
          <w:szCs w:val="22"/>
          <w:lang w:val="cs-CZ"/>
        </w:rPr>
        <w:t>Laboratories</w:t>
      </w:r>
      <w:proofErr w:type="spellEnd"/>
      <w:r w:rsidRPr="008A558B">
        <w:rPr>
          <w:szCs w:val="22"/>
          <w:lang w:val="cs-CZ"/>
        </w:rPr>
        <w:t xml:space="preserve"> Limited, </w:t>
      </w:r>
    </w:p>
    <w:p w14:paraId="11DFF3EF" w14:textId="77777777" w:rsidR="00B90065" w:rsidRPr="008A558B" w:rsidRDefault="004827C8" w:rsidP="004314F9">
      <w:pPr>
        <w:spacing w:after="0" w:line="240" w:lineRule="auto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Station Works, </w:t>
      </w:r>
    </w:p>
    <w:p w14:paraId="3129B14D" w14:textId="77777777" w:rsidR="00B90065" w:rsidRPr="008A558B" w:rsidRDefault="004827C8" w:rsidP="004314F9">
      <w:pPr>
        <w:spacing w:after="0" w:line="240" w:lineRule="auto"/>
        <w:jc w:val="both"/>
        <w:rPr>
          <w:szCs w:val="22"/>
          <w:lang w:val="cs-CZ"/>
        </w:rPr>
      </w:pPr>
      <w:proofErr w:type="spellStart"/>
      <w:r w:rsidRPr="008A558B">
        <w:rPr>
          <w:szCs w:val="22"/>
          <w:lang w:val="cs-CZ"/>
        </w:rPr>
        <w:t>Newry</w:t>
      </w:r>
      <w:proofErr w:type="spellEnd"/>
      <w:r w:rsidRPr="008A558B">
        <w:rPr>
          <w:szCs w:val="22"/>
          <w:lang w:val="cs-CZ"/>
        </w:rPr>
        <w:t xml:space="preserve">, </w:t>
      </w:r>
    </w:p>
    <w:p w14:paraId="53247BDF" w14:textId="77777777" w:rsidR="00B90065" w:rsidRPr="008A558B" w:rsidRDefault="004827C8" w:rsidP="004314F9">
      <w:pPr>
        <w:spacing w:after="0" w:line="240" w:lineRule="auto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Severní Irsko </w:t>
      </w:r>
    </w:p>
    <w:p w14:paraId="3BC234F3" w14:textId="0DB91072" w:rsidR="004827C8" w:rsidRPr="008A558B" w:rsidRDefault="004827C8" w:rsidP="004314F9">
      <w:pPr>
        <w:spacing w:after="0" w:line="240" w:lineRule="auto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>BT35 6JP.</w:t>
      </w:r>
    </w:p>
    <w:p w14:paraId="2476323C" w14:textId="77777777" w:rsidR="004827C8" w:rsidRPr="008A558B" w:rsidRDefault="004827C8" w:rsidP="004314F9">
      <w:pPr>
        <w:spacing w:after="0" w:line="240" w:lineRule="auto"/>
        <w:jc w:val="both"/>
        <w:rPr>
          <w:bCs/>
          <w:szCs w:val="22"/>
          <w:lang w:val="cs-CZ"/>
        </w:rPr>
      </w:pPr>
    </w:p>
    <w:p w14:paraId="11CBBF90" w14:textId="0FB8A03C" w:rsidR="004827C8" w:rsidRPr="008A558B" w:rsidRDefault="004827C8" w:rsidP="004314F9">
      <w:pPr>
        <w:pStyle w:val="Style4"/>
        <w:spacing w:line="240" w:lineRule="auto"/>
        <w:jc w:val="both"/>
      </w:pPr>
      <w:bookmarkStart w:id="7" w:name="_Hlk73552585"/>
      <w:r w:rsidRPr="008A558B">
        <w:rPr>
          <w:u w:val="single"/>
        </w:rPr>
        <w:t>Místní zástupci a kontaktní údaje pro hlášení podezření na nežádoucí účinky:</w:t>
      </w:r>
      <w:bookmarkEnd w:id="7"/>
    </w:p>
    <w:p w14:paraId="0F342950" w14:textId="77777777" w:rsidR="004827C8" w:rsidRPr="008A558B" w:rsidRDefault="004827C8" w:rsidP="004314F9">
      <w:pPr>
        <w:spacing w:after="0" w:line="240" w:lineRule="auto"/>
        <w:ind w:left="0" w:firstLine="0"/>
        <w:jc w:val="both"/>
        <w:rPr>
          <w:bCs/>
          <w:szCs w:val="22"/>
          <w:lang w:val="cs-CZ"/>
        </w:rPr>
      </w:pPr>
      <w:proofErr w:type="spellStart"/>
      <w:r w:rsidRPr="008A558B">
        <w:rPr>
          <w:bCs/>
          <w:szCs w:val="22"/>
          <w:lang w:val="cs-CZ"/>
        </w:rPr>
        <w:t>Samohýl</w:t>
      </w:r>
      <w:proofErr w:type="spellEnd"/>
      <w:r w:rsidRPr="008A558B">
        <w:rPr>
          <w:bCs/>
          <w:szCs w:val="22"/>
          <w:lang w:val="cs-CZ"/>
        </w:rPr>
        <w:t xml:space="preserve"> </w:t>
      </w:r>
      <w:proofErr w:type="spellStart"/>
      <w:r w:rsidRPr="008A558B">
        <w:rPr>
          <w:bCs/>
          <w:szCs w:val="22"/>
          <w:lang w:val="cs-CZ"/>
        </w:rPr>
        <w:t>group</w:t>
      </w:r>
      <w:proofErr w:type="spellEnd"/>
      <w:r w:rsidRPr="008A558B">
        <w:rPr>
          <w:bCs/>
          <w:szCs w:val="22"/>
          <w:lang w:val="cs-CZ"/>
        </w:rPr>
        <w:t xml:space="preserve"> a.s.</w:t>
      </w:r>
    </w:p>
    <w:p w14:paraId="5F219EFA" w14:textId="77777777" w:rsidR="004827C8" w:rsidRPr="008A558B" w:rsidRDefault="004827C8" w:rsidP="004314F9">
      <w:pPr>
        <w:tabs>
          <w:tab w:val="left" w:pos="0"/>
        </w:tabs>
        <w:spacing w:after="0" w:line="240" w:lineRule="auto"/>
        <w:jc w:val="both"/>
        <w:rPr>
          <w:bCs/>
          <w:szCs w:val="22"/>
          <w:lang w:val="cs-CZ"/>
        </w:rPr>
      </w:pPr>
      <w:r w:rsidRPr="008A558B">
        <w:rPr>
          <w:bCs/>
          <w:szCs w:val="22"/>
          <w:lang w:val="cs-CZ"/>
        </w:rPr>
        <w:t>Smetanova 1058</w:t>
      </w:r>
    </w:p>
    <w:p w14:paraId="27DCD083" w14:textId="77777777" w:rsidR="004827C8" w:rsidRPr="008A558B" w:rsidRDefault="004827C8" w:rsidP="004314F9">
      <w:pPr>
        <w:tabs>
          <w:tab w:val="left" w:pos="0"/>
        </w:tabs>
        <w:spacing w:after="0" w:line="240" w:lineRule="auto"/>
        <w:jc w:val="both"/>
        <w:rPr>
          <w:bCs/>
          <w:szCs w:val="22"/>
          <w:lang w:val="cs-CZ"/>
        </w:rPr>
      </w:pPr>
      <w:r w:rsidRPr="008A558B">
        <w:rPr>
          <w:bCs/>
          <w:szCs w:val="22"/>
          <w:lang w:val="cs-CZ"/>
        </w:rPr>
        <w:t>512 51 Lomnice nad Popelkou</w:t>
      </w:r>
    </w:p>
    <w:p w14:paraId="5D37F673" w14:textId="77777777" w:rsidR="004827C8" w:rsidRPr="008A558B" w:rsidRDefault="004827C8" w:rsidP="004314F9">
      <w:pPr>
        <w:tabs>
          <w:tab w:val="left" w:pos="0"/>
        </w:tabs>
        <w:spacing w:after="0" w:line="240" w:lineRule="auto"/>
        <w:jc w:val="both"/>
        <w:rPr>
          <w:bCs/>
          <w:szCs w:val="22"/>
          <w:lang w:val="cs-CZ"/>
        </w:rPr>
      </w:pPr>
      <w:r w:rsidRPr="008A558B">
        <w:rPr>
          <w:bCs/>
          <w:szCs w:val="22"/>
          <w:lang w:val="cs-CZ"/>
        </w:rPr>
        <w:t xml:space="preserve">Česká republika </w:t>
      </w:r>
    </w:p>
    <w:p w14:paraId="46F670D8" w14:textId="77777777" w:rsidR="004827C8" w:rsidRPr="008A558B" w:rsidRDefault="004827C8" w:rsidP="004314F9">
      <w:pPr>
        <w:tabs>
          <w:tab w:val="left" w:pos="0"/>
        </w:tabs>
        <w:spacing w:after="0" w:line="240" w:lineRule="auto"/>
        <w:jc w:val="both"/>
        <w:rPr>
          <w:bCs/>
          <w:szCs w:val="22"/>
          <w:lang w:val="cs-CZ"/>
        </w:rPr>
      </w:pPr>
      <w:r w:rsidRPr="008A558B">
        <w:rPr>
          <w:bCs/>
          <w:szCs w:val="22"/>
          <w:lang w:val="cs-CZ"/>
        </w:rPr>
        <w:t>Tel: +420 483 006 490</w:t>
      </w:r>
    </w:p>
    <w:p w14:paraId="63FBE290" w14:textId="558B43D4" w:rsidR="00FF6474" w:rsidRPr="008A558B" w:rsidRDefault="004827C8" w:rsidP="004314F9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8A558B">
        <w:rPr>
          <w:bCs/>
          <w:szCs w:val="22"/>
          <w:lang w:val="cs-CZ"/>
        </w:rPr>
        <w:t>E-mail: norbrook@samohyl.cz</w:t>
      </w:r>
      <w:r w:rsidRPr="008A558B" w:rsidDel="004827C8">
        <w:rPr>
          <w:szCs w:val="22"/>
          <w:lang w:val="cs-CZ"/>
        </w:rPr>
        <w:t xml:space="preserve"> </w:t>
      </w:r>
    </w:p>
    <w:p w14:paraId="770CC0CE" w14:textId="77777777" w:rsidR="00D51F8B" w:rsidRPr="008A558B" w:rsidRDefault="00D51F8B" w:rsidP="004314F9">
      <w:pPr>
        <w:spacing w:after="0" w:line="240" w:lineRule="auto"/>
        <w:ind w:left="0" w:firstLine="0"/>
        <w:jc w:val="both"/>
        <w:rPr>
          <w:szCs w:val="22"/>
          <w:lang w:val="cs-CZ"/>
        </w:rPr>
      </w:pPr>
    </w:p>
    <w:p w14:paraId="72E5EFBB" w14:textId="77777777" w:rsidR="002E46F4" w:rsidRPr="008A558B" w:rsidRDefault="002E46F4" w:rsidP="004314F9">
      <w:pPr>
        <w:spacing w:after="0" w:line="240" w:lineRule="auto"/>
        <w:ind w:left="-5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Pokud chcete získat informace o tomto veterinárním léčivém přípravku, kontaktujte prosím příslušného místního zástupce držitele rozhodnutí o registraci. </w:t>
      </w:r>
    </w:p>
    <w:p w14:paraId="1EAB3C69" w14:textId="77777777" w:rsidR="00F57E27" w:rsidRPr="008A558B" w:rsidRDefault="00F57E27" w:rsidP="004314F9">
      <w:pPr>
        <w:spacing w:after="0" w:line="240" w:lineRule="auto"/>
        <w:ind w:left="0" w:firstLine="0"/>
        <w:jc w:val="both"/>
        <w:rPr>
          <w:szCs w:val="22"/>
          <w:lang w:val="cs-CZ"/>
        </w:rPr>
      </w:pPr>
    </w:p>
    <w:p w14:paraId="512F99C2" w14:textId="32B34EAE" w:rsidR="00FF6474" w:rsidRPr="008A558B" w:rsidRDefault="00A711ED" w:rsidP="004314F9">
      <w:pPr>
        <w:pStyle w:val="Nadpis2"/>
        <w:tabs>
          <w:tab w:val="left" w:pos="567"/>
        </w:tabs>
        <w:spacing w:after="0" w:line="240" w:lineRule="auto"/>
        <w:ind w:left="-4"/>
        <w:jc w:val="both"/>
        <w:rPr>
          <w:szCs w:val="22"/>
          <w:lang w:val="cs-CZ"/>
        </w:rPr>
      </w:pPr>
      <w:r w:rsidRPr="008A558B">
        <w:rPr>
          <w:szCs w:val="22"/>
          <w:shd w:val="clear" w:color="auto" w:fill="D3D3D3"/>
          <w:lang w:val="cs-CZ"/>
        </w:rPr>
        <w:t>17.</w:t>
      </w:r>
      <w:r w:rsidR="00382825">
        <w:rPr>
          <w:szCs w:val="22"/>
          <w:lang w:val="cs-CZ"/>
        </w:rPr>
        <w:tab/>
      </w:r>
      <w:r w:rsidRPr="008A558B">
        <w:rPr>
          <w:szCs w:val="22"/>
          <w:lang w:val="cs-CZ"/>
        </w:rPr>
        <w:t xml:space="preserve">Další informace </w:t>
      </w:r>
    </w:p>
    <w:p w14:paraId="2A2A9373" w14:textId="4F4592E7" w:rsidR="00FF6474" w:rsidRPr="008A558B" w:rsidRDefault="00A711ED" w:rsidP="004314F9">
      <w:pPr>
        <w:spacing w:after="0" w:line="240" w:lineRule="auto"/>
        <w:ind w:left="0" w:firstLine="0"/>
        <w:jc w:val="both"/>
        <w:rPr>
          <w:szCs w:val="22"/>
          <w:lang w:val="cs-CZ"/>
        </w:rPr>
      </w:pPr>
      <w:r w:rsidRPr="008A558B">
        <w:rPr>
          <w:szCs w:val="22"/>
          <w:lang w:val="cs-CZ"/>
        </w:rPr>
        <w:t xml:space="preserve"> </w:t>
      </w:r>
    </w:p>
    <w:p w14:paraId="0FC67DCA" w14:textId="77777777" w:rsidR="00333E95" w:rsidRPr="008A558B" w:rsidRDefault="00333E95" w:rsidP="004314F9">
      <w:pPr>
        <w:spacing w:after="0" w:line="240" w:lineRule="auto"/>
        <w:jc w:val="both"/>
        <w:rPr>
          <w:b/>
          <w:bCs/>
          <w:szCs w:val="22"/>
          <w:lang w:val="cs-CZ"/>
        </w:rPr>
      </w:pPr>
      <w:r w:rsidRPr="008A558B">
        <w:rPr>
          <w:bCs/>
          <w:szCs w:val="22"/>
          <w:lang w:val="cs-CZ"/>
        </w:rPr>
        <w:t>Pouze pro zvířata.</w:t>
      </w:r>
    </w:p>
    <w:p w14:paraId="0BDA79AA" w14:textId="77777777" w:rsidR="00333E95" w:rsidRPr="008A558B" w:rsidRDefault="00333E95" w:rsidP="004314F9">
      <w:pPr>
        <w:spacing w:after="0" w:line="240" w:lineRule="auto"/>
        <w:jc w:val="both"/>
        <w:rPr>
          <w:b/>
          <w:bCs/>
          <w:szCs w:val="22"/>
          <w:lang w:val="cs-CZ"/>
        </w:rPr>
      </w:pPr>
    </w:p>
    <w:p w14:paraId="577A2BAC" w14:textId="77777777" w:rsidR="00333E95" w:rsidRPr="008A558B" w:rsidRDefault="00333E95" w:rsidP="004314F9">
      <w:pPr>
        <w:spacing w:after="0" w:line="240" w:lineRule="auto"/>
        <w:jc w:val="both"/>
        <w:rPr>
          <w:rFonts w:eastAsia="Arial Unicode MS"/>
          <w:b/>
          <w:szCs w:val="22"/>
          <w:lang w:val="cs-CZ"/>
        </w:rPr>
      </w:pPr>
      <w:r w:rsidRPr="008A558B">
        <w:rPr>
          <w:rFonts w:eastAsia="Arial Unicode MS"/>
          <w:szCs w:val="22"/>
          <w:lang w:val="cs-CZ"/>
        </w:rPr>
        <w:t>Environmentální vlastnosti: Trimethoprim je perzistentní v půdě.</w:t>
      </w:r>
    </w:p>
    <w:p w14:paraId="3B2183B5" w14:textId="77777777" w:rsidR="00333E95" w:rsidRPr="008A558B" w:rsidRDefault="00333E95" w:rsidP="004314F9">
      <w:pPr>
        <w:spacing w:after="0" w:line="240" w:lineRule="auto"/>
        <w:ind w:left="0" w:firstLine="0"/>
        <w:jc w:val="both"/>
        <w:rPr>
          <w:szCs w:val="22"/>
          <w:lang w:val="cs-CZ"/>
        </w:rPr>
      </w:pPr>
    </w:p>
    <w:sectPr w:rsidR="00333E95" w:rsidRPr="008A558B" w:rsidSect="008A558B">
      <w:footerReference w:type="even" r:id="rId15"/>
      <w:footerReference w:type="default" r:id="rId16"/>
      <w:footerReference w:type="first" r:id="rId17"/>
      <w:pgSz w:w="11906" w:h="16841"/>
      <w:pgMar w:top="1417" w:right="1417" w:bottom="1417" w:left="1417" w:header="720" w:footer="73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791A2" w14:textId="77777777" w:rsidR="00D22116" w:rsidRDefault="00D22116">
      <w:pPr>
        <w:spacing w:after="0" w:line="240" w:lineRule="auto"/>
      </w:pPr>
      <w:r>
        <w:separator/>
      </w:r>
    </w:p>
  </w:endnote>
  <w:endnote w:type="continuationSeparator" w:id="0">
    <w:p w14:paraId="3C6BAB8F" w14:textId="77777777" w:rsidR="00D22116" w:rsidRDefault="00D22116">
      <w:pPr>
        <w:spacing w:after="0" w:line="240" w:lineRule="auto"/>
      </w:pPr>
      <w:r>
        <w:continuationSeparator/>
      </w:r>
    </w:p>
  </w:endnote>
  <w:endnote w:type="continuationNotice" w:id="1">
    <w:p w14:paraId="0DEE9C35" w14:textId="77777777" w:rsidR="00D22116" w:rsidRDefault="00D221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FC015" w14:textId="77777777" w:rsidR="002F55A2" w:rsidRDefault="002F55A2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CA24C" w14:textId="77777777" w:rsidR="002F55A2" w:rsidRDefault="002F55A2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88ED8" w14:textId="77777777" w:rsidR="002F55A2" w:rsidRDefault="002F55A2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7CB48" w14:textId="77777777" w:rsidR="00D22116" w:rsidRDefault="00D22116">
      <w:pPr>
        <w:spacing w:after="0" w:line="240" w:lineRule="auto"/>
      </w:pPr>
      <w:r>
        <w:separator/>
      </w:r>
    </w:p>
  </w:footnote>
  <w:footnote w:type="continuationSeparator" w:id="0">
    <w:p w14:paraId="1006707B" w14:textId="77777777" w:rsidR="00D22116" w:rsidRDefault="00D22116">
      <w:pPr>
        <w:spacing w:after="0" w:line="240" w:lineRule="auto"/>
      </w:pPr>
      <w:r>
        <w:continuationSeparator/>
      </w:r>
    </w:p>
  </w:footnote>
  <w:footnote w:type="continuationNotice" w:id="1">
    <w:p w14:paraId="7C1D8A31" w14:textId="77777777" w:rsidR="00D22116" w:rsidRDefault="00D2211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D718E"/>
    <w:multiLevelType w:val="hybridMultilevel"/>
    <w:tmpl w:val="6DBC32C8"/>
    <w:lvl w:ilvl="0" w:tplc="7CA8A6B4">
      <w:start w:val="6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92BA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5686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8ED4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C47F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7696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F443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E06A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20EC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BB5695"/>
    <w:multiLevelType w:val="hybridMultilevel"/>
    <w:tmpl w:val="C310ED1C"/>
    <w:lvl w:ilvl="0" w:tplc="F07C6048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1" w:tplc="26D663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2" w:tplc="A98AA8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3" w:tplc="34AE5E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4" w:tplc="4E162A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5" w:tplc="A25890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6" w:tplc="5616EE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7" w:tplc="EFCCEB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8" w:tplc="DFE4AC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</w:abstractNum>
  <w:abstractNum w:abstractNumId="2" w15:restartNumberingAfterBreak="0">
    <w:nsid w:val="716E4F32"/>
    <w:multiLevelType w:val="hybridMultilevel"/>
    <w:tmpl w:val="CEA07A80"/>
    <w:lvl w:ilvl="0" w:tplc="17DA6766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20EB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BC37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401F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5CA5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2C35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A2BA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36D9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1024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BB7AE1"/>
    <w:multiLevelType w:val="hybridMultilevel"/>
    <w:tmpl w:val="BA2E2B3C"/>
    <w:lvl w:ilvl="0" w:tplc="1F845A9A">
      <w:start w:val="13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1" w:tplc="61DA49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2" w:tplc="514665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3" w:tplc="0C64AB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4" w:tplc="69405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5" w:tplc="FD5AF1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6" w:tplc="B260B8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7" w:tplc="C7E67E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  <w:lvl w:ilvl="8" w:tplc="21EC9E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D3D3D3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474"/>
    <w:rsid w:val="00001396"/>
    <w:rsid w:val="00011C52"/>
    <w:rsid w:val="00023EF5"/>
    <w:rsid w:val="0005775A"/>
    <w:rsid w:val="00066016"/>
    <w:rsid w:val="000716C7"/>
    <w:rsid w:val="00074E29"/>
    <w:rsid w:val="000776EC"/>
    <w:rsid w:val="000B0DDF"/>
    <w:rsid w:val="000B21C7"/>
    <w:rsid w:val="000D330B"/>
    <w:rsid w:val="000F7FC1"/>
    <w:rsid w:val="001067DD"/>
    <w:rsid w:val="0010738A"/>
    <w:rsid w:val="00112F74"/>
    <w:rsid w:val="0012499B"/>
    <w:rsid w:val="00130A0D"/>
    <w:rsid w:val="00166962"/>
    <w:rsid w:val="00182B33"/>
    <w:rsid w:val="001A0D74"/>
    <w:rsid w:val="001C61AF"/>
    <w:rsid w:val="001C7F40"/>
    <w:rsid w:val="001F10E2"/>
    <w:rsid w:val="001F1F59"/>
    <w:rsid w:val="00207FB7"/>
    <w:rsid w:val="00231832"/>
    <w:rsid w:val="00237FF1"/>
    <w:rsid w:val="0026006B"/>
    <w:rsid w:val="002A2FD6"/>
    <w:rsid w:val="002A4DC6"/>
    <w:rsid w:val="002C4B60"/>
    <w:rsid w:val="002E46F4"/>
    <w:rsid w:val="002F478B"/>
    <w:rsid w:val="002F55A2"/>
    <w:rsid w:val="002F6331"/>
    <w:rsid w:val="003206DB"/>
    <w:rsid w:val="00333E95"/>
    <w:rsid w:val="00334828"/>
    <w:rsid w:val="0033760D"/>
    <w:rsid w:val="00382825"/>
    <w:rsid w:val="003B1502"/>
    <w:rsid w:val="003D369F"/>
    <w:rsid w:val="003E2F21"/>
    <w:rsid w:val="003F6694"/>
    <w:rsid w:val="00414D97"/>
    <w:rsid w:val="00421879"/>
    <w:rsid w:val="004314F9"/>
    <w:rsid w:val="0044113E"/>
    <w:rsid w:val="004563B5"/>
    <w:rsid w:val="0046442E"/>
    <w:rsid w:val="004670E6"/>
    <w:rsid w:val="004721D0"/>
    <w:rsid w:val="00474A18"/>
    <w:rsid w:val="004814E6"/>
    <w:rsid w:val="004827C8"/>
    <w:rsid w:val="0048296F"/>
    <w:rsid w:val="00482A04"/>
    <w:rsid w:val="00497D8B"/>
    <w:rsid w:val="004A6D49"/>
    <w:rsid w:val="004D1140"/>
    <w:rsid w:val="004D244F"/>
    <w:rsid w:val="004F522B"/>
    <w:rsid w:val="00504887"/>
    <w:rsid w:val="00523E84"/>
    <w:rsid w:val="005258FB"/>
    <w:rsid w:val="00530967"/>
    <w:rsid w:val="005427C1"/>
    <w:rsid w:val="00552288"/>
    <w:rsid w:val="005820BA"/>
    <w:rsid w:val="00585B34"/>
    <w:rsid w:val="00587780"/>
    <w:rsid w:val="005A079A"/>
    <w:rsid w:val="005B009E"/>
    <w:rsid w:val="005C3A0B"/>
    <w:rsid w:val="005D03AC"/>
    <w:rsid w:val="005D72C3"/>
    <w:rsid w:val="005E40E6"/>
    <w:rsid w:val="005E439D"/>
    <w:rsid w:val="00601A17"/>
    <w:rsid w:val="00652E05"/>
    <w:rsid w:val="00663786"/>
    <w:rsid w:val="006720B6"/>
    <w:rsid w:val="006802BE"/>
    <w:rsid w:val="006875E1"/>
    <w:rsid w:val="006B07DA"/>
    <w:rsid w:val="006E5187"/>
    <w:rsid w:val="00703985"/>
    <w:rsid w:val="00711A00"/>
    <w:rsid w:val="00714BBE"/>
    <w:rsid w:val="00721D37"/>
    <w:rsid w:val="00745919"/>
    <w:rsid w:val="00750522"/>
    <w:rsid w:val="00750F27"/>
    <w:rsid w:val="007544DC"/>
    <w:rsid w:val="0076639B"/>
    <w:rsid w:val="007810E2"/>
    <w:rsid w:val="007823A4"/>
    <w:rsid w:val="007931A1"/>
    <w:rsid w:val="00795FB8"/>
    <w:rsid w:val="007A5245"/>
    <w:rsid w:val="00823793"/>
    <w:rsid w:val="008449E0"/>
    <w:rsid w:val="0086698D"/>
    <w:rsid w:val="0088505B"/>
    <w:rsid w:val="00887699"/>
    <w:rsid w:val="0089690D"/>
    <w:rsid w:val="008A10DE"/>
    <w:rsid w:val="008A2F21"/>
    <w:rsid w:val="008A558B"/>
    <w:rsid w:val="008B289C"/>
    <w:rsid w:val="008B2B2D"/>
    <w:rsid w:val="008C60C5"/>
    <w:rsid w:val="008D2682"/>
    <w:rsid w:val="008D350E"/>
    <w:rsid w:val="008E0299"/>
    <w:rsid w:val="009005C0"/>
    <w:rsid w:val="00912871"/>
    <w:rsid w:val="009210FA"/>
    <w:rsid w:val="009362CE"/>
    <w:rsid w:val="00961D11"/>
    <w:rsid w:val="0097024E"/>
    <w:rsid w:val="009A1495"/>
    <w:rsid w:val="009D08DA"/>
    <w:rsid w:val="009D7A84"/>
    <w:rsid w:val="00A01C5D"/>
    <w:rsid w:val="00A03E3E"/>
    <w:rsid w:val="00A0663D"/>
    <w:rsid w:val="00A12A69"/>
    <w:rsid w:val="00A16244"/>
    <w:rsid w:val="00A23953"/>
    <w:rsid w:val="00A23A18"/>
    <w:rsid w:val="00A316B0"/>
    <w:rsid w:val="00A3782D"/>
    <w:rsid w:val="00A42EBF"/>
    <w:rsid w:val="00A55FDA"/>
    <w:rsid w:val="00A56AFC"/>
    <w:rsid w:val="00A711ED"/>
    <w:rsid w:val="00A818DB"/>
    <w:rsid w:val="00A8766B"/>
    <w:rsid w:val="00A87D81"/>
    <w:rsid w:val="00AB2363"/>
    <w:rsid w:val="00AD3E95"/>
    <w:rsid w:val="00B07E60"/>
    <w:rsid w:val="00B336E2"/>
    <w:rsid w:val="00B72C2A"/>
    <w:rsid w:val="00B90065"/>
    <w:rsid w:val="00BA4333"/>
    <w:rsid w:val="00BB304B"/>
    <w:rsid w:val="00BC13BB"/>
    <w:rsid w:val="00BD76B4"/>
    <w:rsid w:val="00BE56D1"/>
    <w:rsid w:val="00BF3183"/>
    <w:rsid w:val="00C03C55"/>
    <w:rsid w:val="00C175C5"/>
    <w:rsid w:val="00C230AB"/>
    <w:rsid w:val="00C40946"/>
    <w:rsid w:val="00C579B0"/>
    <w:rsid w:val="00C6198D"/>
    <w:rsid w:val="00C63E4F"/>
    <w:rsid w:val="00C9605E"/>
    <w:rsid w:val="00C97EF2"/>
    <w:rsid w:val="00CA4DE3"/>
    <w:rsid w:val="00CB3497"/>
    <w:rsid w:val="00CC33DE"/>
    <w:rsid w:val="00CC746F"/>
    <w:rsid w:val="00D110F0"/>
    <w:rsid w:val="00D14A78"/>
    <w:rsid w:val="00D15936"/>
    <w:rsid w:val="00D22116"/>
    <w:rsid w:val="00D236A9"/>
    <w:rsid w:val="00D51F8B"/>
    <w:rsid w:val="00D67A75"/>
    <w:rsid w:val="00D94E7D"/>
    <w:rsid w:val="00D9516D"/>
    <w:rsid w:val="00DD181D"/>
    <w:rsid w:val="00DF5C09"/>
    <w:rsid w:val="00E131B1"/>
    <w:rsid w:val="00E1649E"/>
    <w:rsid w:val="00E17467"/>
    <w:rsid w:val="00E33F23"/>
    <w:rsid w:val="00E35707"/>
    <w:rsid w:val="00E40087"/>
    <w:rsid w:val="00E40FA4"/>
    <w:rsid w:val="00E70396"/>
    <w:rsid w:val="00E7297C"/>
    <w:rsid w:val="00E861D6"/>
    <w:rsid w:val="00EC7F60"/>
    <w:rsid w:val="00F009B8"/>
    <w:rsid w:val="00F066C0"/>
    <w:rsid w:val="00F070B3"/>
    <w:rsid w:val="00F07909"/>
    <w:rsid w:val="00F57E27"/>
    <w:rsid w:val="00F76A2D"/>
    <w:rsid w:val="00F801C5"/>
    <w:rsid w:val="00F807E9"/>
    <w:rsid w:val="00F97E82"/>
    <w:rsid w:val="00FC3251"/>
    <w:rsid w:val="00FF1C74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AADDF2"/>
  <w15:docId w15:val="{ADA385B2-4CBC-4829-B700-16E21D5F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5" w:line="248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 w:line="248" w:lineRule="auto"/>
      <w:ind w:left="3963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5" w:line="248" w:lineRule="auto"/>
      <w:ind w:left="3963" w:hanging="10"/>
      <w:outlineLvl w:val="1"/>
    </w:pPr>
    <w:rPr>
      <w:rFonts w:ascii="Times New Roman" w:eastAsia="Times New Roman" w:hAnsi="Times New Roman" w:cs="Times New Roman"/>
      <w:b/>
      <w:color w:val="000000"/>
      <w:sz w:val="22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5" w:line="248" w:lineRule="auto"/>
      <w:ind w:left="3963" w:hanging="10"/>
      <w:outlineLvl w:val="2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4A6D49"/>
    <w:pPr>
      <w:spacing w:after="0" w:line="240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Zhlav">
    <w:name w:val="header"/>
    <w:basedOn w:val="Normln"/>
    <w:link w:val="ZhlavChar"/>
    <w:uiPriority w:val="99"/>
    <w:unhideWhenUsed/>
    <w:rsid w:val="000B21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21C7"/>
    <w:rPr>
      <w:rFonts w:ascii="Times New Roman" w:eastAsia="Times New Roman" w:hAnsi="Times New Roman" w:cs="Times New Roman"/>
      <w:color w:val="000000"/>
      <w:sz w:val="22"/>
    </w:rPr>
  </w:style>
  <w:style w:type="paragraph" w:styleId="Zpat">
    <w:name w:val="footer"/>
    <w:basedOn w:val="Normln"/>
    <w:link w:val="ZpatChar"/>
    <w:uiPriority w:val="99"/>
    <w:semiHidden/>
    <w:unhideWhenUsed/>
    <w:rsid w:val="000B21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B21C7"/>
    <w:rPr>
      <w:rFonts w:ascii="Times New Roman" w:eastAsia="Times New Roman" w:hAnsi="Times New Roman" w:cs="Times New Roman"/>
      <w:color w:val="000000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5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55A2"/>
    <w:rPr>
      <w:rFonts w:ascii="Segoe UI" w:eastAsia="Times New Roman" w:hAnsi="Segoe UI" w:cs="Segoe UI"/>
      <w:color w:val="000000"/>
      <w:sz w:val="18"/>
      <w:szCs w:val="18"/>
    </w:rPr>
  </w:style>
  <w:style w:type="paragraph" w:styleId="Zkladntext">
    <w:name w:val="Body Text"/>
    <w:basedOn w:val="Normln"/>
    <w:link w:val="ZkladntextChar"/>
    <w:semiHidden/>
    <w:rsid w:val="002F55A2"/>
    <w:pPr>
      <w:spacing w:after="0" w:line="240" w:lineRule="auto"/>
      <w:ind w:left="0" w:firstLine="0"/>
    </w:pPr>
    <w:rPr>
      <w:bCs/>
      <w:color w:val="auto"/>
      <w:kern w:val="0"/>
      <w:lang w:val="cs-CZ"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2F55A2"/>
    <w:rPr>
      <w:rFonts w:ascii="Times New Roman" w:eastAsia="Times New Roman" w:hAnsi="Times New Roman" w:cs="Times New Roman"/>
      <w:bCs/>
      <w:kern w:val="0"/>
      <w:sz w:val="22"/>
      <w:lang w:val="cs-CZ"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2F55A2"/>
    <w:pPr>
      <w:ind w:left="720"/>
      <w:contextualSpacing/>
    </w:pPr>
  </w:style>
  <w:style w:type="paragraph" w:customStyle="1" w:styleId="xxelementtoproof">
    <w:name w:val="x_xelementtoproof"/>
    <w:basedOn w:val="Normln"/>
    <w:rsid w:val="008D2682"/>
    <w:pPr>
      <w:spacing w:after="0" w:line="240" w:lineRule="auto"/>
      <w:ind w:left="0" w:firstLine="0"/>
    </w:pPr>
    <w:rPr>
      <w:rFonts w:ascii="Calibri" w:eastAsiaTheme="minorHAnsi" w:hAnsi="Calibri" w:cs="Calibri"/>
      <w:color w:val="auto"/>
      <w:kern w:val="0"/>
      <w:szCs w:val="22"/>
      <w:lang w:val="cs-CZ"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4827C8"/>
    <w:rPr>
      <w:color w:val="0563C1"/>
      <w:u w:val="single"/>
    </w:rPr>
  </w:style>
  <w:style w:type="paragraph" w:customStyle="1" w:styleId="Style4">
    <w:name w:val="Style4"/>
    <w:basedOn w:val="Normln"/>
    <w:qFormat/>
    <w:rsid w:val="004827C8"/>
    <w:pPr>
      <w:tabs>
        <w:tab w:val="left" w:pos="567"/>
      </w:tabs>
      <w:spacing w:after="0" w:line="260" w:lineRule="exact"/>
      <w:ind w:left="0" w:firstLine="0"/>
    </w:pPr>
    <w:rPr>
      <w:color w:val="auto"/>
      <w:kern w:val="0"/>
      <w:szCs w:val="22"/>
      <w:lang w:val="cs-CZ" w:eastAsia="en-US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F079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079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0790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79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790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markedcontent">
    <w:name w:val="markedcontent"/>
    <w:basedOn w:val="Standardnpsmoodstavce"/>
    <w:rsid w:val="00711A00"/>
  </w:style>
  <w:style w:type="paragraph" w:styleId="Zkladntext2">
    <w:name w:val="Body Text 2"/>
    <w:basedOn w:val="Normln"/>
    <w:link w:val="Zkladntext2Char"/>
    <w:uiPriority w:val="99"/>
    <w:semiHidden/>
    <w:unhideWhenUsed/>
    <w:rsid w:val="009D7A8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D7A84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adr@uskvbl.c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F5A512465BD4BB1D60C349985926A" ma:contentTypeVersion="13" ma:contentTypeDescription="Create a new document." ma:contentTypeScope="" ma:versionID="c84aa2332ff8b15959ea78a6f1084e74">
  <xsd:schema xmlns:xsd="http://www.w3.org/2001/XMLSchema" xmlns:xs="http://www.w3.org/2001/XMLSchema" xmlns:p="http://schemas.microsoft.com/office/2006/metadata/properties" xmlns:ns2="3efbcc0a-96fa-493e-be9b-0a39e8d6f2db" xmlns:ns3="d0cf5293-d146-4d0a-a325-38e8ea5c6a1d" targetNamespace="http://schemas.microsoft.com/office/2006/metadata/properties" ma:root="true" ma:fieldsID="46bbf58e4b34acb2beb92207ee2d2c18" ns2:_="" ns3:_="">
    <xsd:import namespace="3efbcc0a-96fa-493e-be9b-0a39e8d6f2db"/>
    <xsd:import namespace="d0cf5293-d146-4d0a-a325-38e8ea5c6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cc0a-96fa-493e-be9b-0a39e8d6f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ef36588-58cb-477e-a5cf-7ae7c0531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f5293-d146-4d0a-a325-38e8ea5c6a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b8842c-55ab-460e-9217-00974a0f1606}" ma:internalName="TaxCatchAll" ma:showField="CatchAllData" ma:web="d0cf5293-d146-4d0a-a325-38e8ea5c6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f5293-d146-4d0a-a325-38e8ea5c6a1d" xsi:nil="true"/>
    <lcf76f155ced4ddcb4097134ff3c332f xmlns="3efbcc0a-96fa-493e-be9b-0a39e8d6f2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D33064-D9B0-4B6A-B6D5-DD687D5E53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B7A1FA-CBDE-42B6-BDC8-8E6309882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cc0a-96fa-493e-be9b-0a39e8d6f2db"/>
    <ds:schemaRef ds:uri="d0cf5293-d146-4d0a-a325-38e8ea5c6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CB1C3F-E88C-4B37-A7DB-A35C5E8FB24A}">
  <ds:schemaRefs>
    <ds:schemaRef ds:uri="http://schemas.microsoft.com/office/2006/metadata/properties"/>
    <ds:schemaRef ds:uri="http://schemas.microsoft.com/office/infopath/2007/PartnerControls"/>
    <ds:schemaRef ds:uri="d0cf5293-d146-4d0a-a325-38e8ea5c6a1d"/>
    <ds:schemaRef ds:uri="3efbcc0a-96fa-493e-be9b-0a39e8d6f2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1505</Words>
  <Characters>8882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qrd-veterinary-product-information-highlighted-template-version-9.1_cs</vt:lpstr>
      <vt:lpstr>qrd-veterinary-product-information-highlighted-template-version-9.1_cs</vt:lpstr>
    </vt:vector>
  </TitlesOfParts>
  <Company/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qrd-veterinary-product-information-highlighted-template-version-9.1_cs</dc:title>
  <dc:subject>qrd-veterinary-product-information-highlighted-template-version-9.1_cs</dc:subject>
  <dc:creator>European Medicines Agency</dc:creator>
  <cp:keywords>QRD, template</cp:keywords>
  <cp:lastModifiedBy>Dana Studená</cp:lastModifiedBy>
  <cp:revision>42</cp:revision>
  <dcterms:created xsi:type="dcterms:W3CDTF">2026-02-09T12:40:00Z</dcterms:created>
  <dcterms:modified xsi:type="dcterms:W3CDTF">2026-05-05T09:49:00Z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0x010100A8DF5A512465BD4BB1D60C349985926A</vt:lpwstr>
  </property>
  <property fmtid="{D5CDD505-2E9C-101B-9397-08002B2CF9AE}" pid="3" name="MediaServiceImageTags">
    <vt:lpwstr/>
  </property>
</Properties>
</file>